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7358" w:rsidR="00E44370" w:rsidP="00E44370" w:rsidRDefault="00C063B1" w14:paraId="7D095DB7" w14:textId="1AA3B22A">
      <w:pPr>
        <w:spacing w:line="276" w:lineRule="auto"/>
        <w:rPr>
          <w:sz w:val="96"/>
          <w:szCs w:val="96"/>
        </w:rPr>
      </w:pPr>
      <w:r w:rsidRPr="00737358">
        <w:rPr>
          <w:sz w:val="96"/>
          <w:szCs w:val="96"/>
        </w:rPr>
        <w:t>Read-Me File for</w:t>
      </w:r>
    </w:p>
    <w:p w:rsidRPr="00737358" w:rsidR="00E44370" w:rsidP="00E44370" w:rsidRDefault="00E44370" w14:paraId="51654B8F" w14:textId="77777777">
      <w:pPr>
        <w:spacing w:line="276" w:lineRule="auto"/>
        <w:rPr>
          <w:sz w:val="96"/>
          <w:szCs w:val="96"/>
          <w:lang w:val="en-AU"/>
        </w:rPr>
      </w:pPr>
      <w:r w:rsidRPr="00737358">
        <w:rPr>
          <w:sz w:val="96"/>
          <w:szCs w:val="96"/>
        </w:rPr>
        <w:t>‘</w:t>
      </w:r>
      <w:r w:rsidRPr="00737358">
        <w:rPr>
          <w:sz w:val="96"/>
          <w:szCs w:val="96"/>
          <w:lang w:val="en-AU"/>
        </w:rPr>
        <w:t xml:space="preserve">Claims Submitted to the Multilateral Development Bank Accountability Mechanisms – </w:t>
      </w:r>
    </w:p>
    <w:p w:rsidR="00BC55A6" w:rsidP="00C063B1" w:rsidRDefault="00E44370" w14:paraId="7A01F8CE" w14:textId="40A86DE8">
      <w:pPr>
        <w:spacing w:line="276" w:lineRule="auto"/>
        <w:rPr>
          <w:sz w:val="96"/>
          <w:szCs w:val="96"/>
          <w:lang w:val="en-AU"/>
        </w:rPr>
      </w:pPr>
      <w:r w:rsidRPr="3799C5EC" w:rsidR="00E44370">
        <w:rPr>
          <w:sz w:val="96"/>
          <w:szCs w:val="96"/>
          <w:lang w:val="en-AU"/>
        </w:rPr>
        <w:t>1994-20</w:t>
      </w:r>
      <w:r w:rsidRPr="3799C5EC" w:rsidR="00BC64E3">
        <w:rPr>
          <w:sz w:val="96"/>
          <w:szCs w:val="96"/>
          <w:lang w:val="en-AU"/>
        </w:rPr>
        <w:t>2</w:t>
      </w:r>
      <w:r w:rsidRPr="3799C5EC" w:rsidR="33331F36">
        <w:rPr>
          <w:sz w:val="96"/>
          <w:szCs w:val="96"/>
          <w:lang w:val="en-AU"/>
        </w:rPr>
        <w:t>2</w:t>
      </w:r>
      <w:r w:rsidRPr="3799C5EC" w:rsidR="00E44370">
        <w:rPr>
          <w:sz w:val="96"/>
          <w:szCs w:val="96"/>
          <w:lang w:val="en-AU"/>
        </w:rPr>
        <w:t>’</w:t>
      </w:r>
    </w:p>
    <w:p w:rsidR="00737358" w:rsidP="00C063B1" w:rsidRDefault="00737358" w14:paraId="70D51623" w14:textId="77777777">
      <w:pPr>
        <w:spacing w:line="276" w:lineRule="auto"/>
        <w:rPr>
          <w:sz w:val="96"/>
          <w:szCs w:val="96"/>
          <w:lang w:val="en-AU"/>
        </w:rPr>
      </w:pPr>
    </w:p>
    <w:p w:rsidRPr="00B647BC" w:rsidR="00BC55A6" w:rsidP="00C063B1" w:rsidRDefault="00B647BC" w14:paraId="116FB02A" w14:textId="7E5C5B21">
      <w:pPr>
        <w:spacing w:line="276" w:lineRule="auto"/>
        <w:rPr>
          <w:sz w:val="32"/>
          <w:szCs w:val="32"/>
        </w:rPr>
      </w:pPr>
      <w:r w:rsidRPr="7B5E5F0B" w:rsidR="00B647BC">
        <w:rPr>
          <w:sz w:val="32"/>
          <w:szCs w:val="32"/>
        </w:rPr>
        <w:t xml:space="preserve">Version </w:t>
      </w:r>
      <w:r w:rsidRPr="7B5E5F0B" w:rsidR="6D721FDB">
        <w:rPr>
          <w:sz w:val="32"/>
          <w:szCs w:val="32"/>
        </w:rPr>
        <w:t>4</w:t>
      </w:r>
      <w:r w:rsidRPr="7B5E5F0B" w:rsidR="00B647BC">
        <w:rPr>
          <w:sz w:val="32"/>
          <w:szCs w:val="32"/>
        </w:rPr>
        <w:t xml:space="preserve">.0 – data compiled between April 2016 and </w:t>
      </w:r>
      <w:r w:rsidRPr="7B5E5F0B" w:rsidR="06ED2BDF">
        <w:rPr>
          <w:sz w:val="32"/>
          <w:szCs w:val="32"/>
        </w:rPr>
        <w:t>19 December 2022</w:t>
      </w:r>
    </w:p>
    <w:p w:rsidR="00BC55A6" w:rsidP="0071751D" w:rsidRDefault="00BC55A6" w14:paraId="0C5AF3C4" w14:textId="5D2387B1">
      <w:pPr>
        <w:pBdr>
          <w:top w:val="single" w:color="auto" w:sz="4" w:space="1"/>
          <w:bottom w:val="single" w:color="auto" w:sz="4" w:space="1"/>
        </w:pBdr>
        <w:spacing w:line="276" w:lineRule="auto"/>
        <w:rPr>
          <w:sz w:val="20"/>
          <w:szCs w:val="20"/>
        </w:rPr>
      </w:pPr>
      <w:r>
        <w:rPr>
          <w:sz w:val="20"/>
          <w:szCs w:val="20"/>
        </w:rPr>
        <w:t>Created by Roland Harris</w:t>
      </w:r>
      <w:r w:rsidR="00316898">
        <w:rPr>
          <w:sz w:val="20"/>
          <w:szCs w:val="20"/>
        </w:rPr>
        <w:t xml:space="preserve"> and updated by Eda Gunaydin</w:t>
      </w:r>
    </w:p>
    <w:p w:rsidRPr="000305F2" w:rsidR="00BC55A6" w:rsidP="0071751D" w:rsidRDefault="00263FF0" w14:paraId="02E6FEA3" w14:textId="6576F879">
      <w:pPr>
        <w:pBdr>
          <w:top w:val="single" w:color="auto" w:sz="4" w:space="1"/>
          <w:bottom w:val="single" w:color="auto" w:sz="4" w:space="1"/>
        </w:pBdr>
        <w:spacing w:line="276" w:lineRule="auto"/>
        <w:rPr>
          <w:rStyle w:val="Hyperlink"/>
          <w:sz w:val="20"/>
        </w:rPr>
      </w:pPr>
      <w:r>
        <w:rPr>
          <w:sz w:val="20"/>
          <w:szCs w:val="20"/>
        </w:rPr>
        <w:t>F</w:t>
      </w:r>
      <w:r w:rsidR="00BC55A6">
        <w:rPr>
          <w:sz w:val="20"/>
          <w:szCs w:val="20"/>
        </w:rPr>
        <w:t xml:space="preserve">or enquiries, please contact </w:t>
      </w:r>
      <w:r w:rsidR="00316898">
        <w:rPr>
          <w:sz w:val="20"/>
          <w:szCs w:val="20"/>
        </w:rPr>
        <w:t>Professor</w:t>
      </w:r>
      <w:r w:rsidR="00BC55A6">
        <w:rPr>
          <w:sz w:val="20"/>
          <w:szCs w:val="20"/>
        </w:rPr>
        <w:t xml:space="preserve"> Susan Park – </w:t>
      </w:r>
      <w:hyperlink w:history="1" r:id="rId8">
        <w:r w:rsidRPr="00193E07" w:rsidR="00BC55A6">
          <w:rPr>
            <w:rStyle w:val="Hyperlink"/>
            <w:sz w:val="20"/>
            <w:szCs w:val="20"/>
          </w:rPr>
          <w:t>susan.park@sydney.edu.au</w:t>
        </w:r>
      </w:hyperlink>
    </w:p>
    <w:p w:rsidR="00BA0765" w:rsidP="00BA0765" w:rsidRDefault="00BA0765" w14:paraId="014FA9A1" w14:textId="77777777">
      <w:pPr>
        <w:pBdr>
          <w:top w:val="single" w:color="auto" w:sz="4" w:space="1"/>
          <w:bottom w:val="single" w:color="auto" w:sz="4" w:space="1"/>
        </w:pBdr>
        <w:spacing w:line="276" w:lineRule="auto"/>
        <w:rPr>
          <w:sz w:val="20"/>
          <w:szCs w:val="20"/>
        </w:rPr>
      </w:pPr>
      <w:r>
        <w:rPr>
          <w:sz w:val="20"/>
          <w:szCs w:val="20"/>
        </w:rPr>
        <w:t xml:space="preserve">ORCID: 0000-0001-7932-1525; Creative Commons License Creative Commons Attribution 4.0 International (CC BY 4.0): </w:t>
      </w:r>
      <w:hyperlink w:history="1" r:id="rId9">
        <w:r>
          <w:rPr>
            <w:rStyle w:val="Hyperlink"/>
            <w:rFonts w:ascii="&amp;quot" w:hAnsi="&amp;quot"/>
            <w:color w:val="CE3D20"/>
            <w:sz w:val="23"/>
            <w:szCs w:val="23"/>
          </w:rPr>
          <w:t>http://dx.doi.org/10.25910/5bdb90e22bf46</w:t>
        </w:r>
      </w:hyperlink>
    </w:p>
    <w:p w:rsidR="00BA0765" w:rsidP="00BA0765" w:rsidRDefault="00BA0765" w14:paraId="682B337E" w14:textId="77777777">
      <w:pPr>
        <w:pBdr>
          <w:top w:val="single" w:color="auto" w:sz="4" w:space="1"/>
          <w:bottom w:val="single" w:color="auto" w:sz="4" w:space="1"/>
        </w:pBdr>
        <w:spacing w:line="276" w:lineRule="auto"/>
        <w:rPr>
          <w:sz w:val="20"/>
          <w:szCs w:val="20"/>
        </w:rPr>
      </w:pPr>
      <w:r>
        <w:rPr>
          <w:sz w:val="20"/>
          <w:szCs w:val="20"/>
        </w:rPr>
        <w:t>Created as an .xlsx file using Microsoft</w:t>
      </w:r>
      <w:r>
        <w:rPr>
          <w:b/>
          <w:sz w:val="20"/>
          <w:szCs w:val="20"/>
          <w:lang w:val="en-AU"/>
        </w:rPr>
        <w:t>®</w:t>
      </w:r>
      <w:r>
        <w:rPr>
          <w:sz w:val="20"/>
          <w:szCs w:val="20"/>
        </w:rPr>
        <w:t xml:space="preserve"> Excel</w:t>
      </w:r>
      <w:r>
        <w:rPr>
          <w:b/>
          <w:sz w:val="20"/>
          <w:szCs w:val="20"/>
          <w:lang w:val="en-AU"/>
        </w:rPr>
        <w:t>®</w:t>
      </w:r>
      <w:r>
        <w:rPr>
          <w:sz w:val="20"/>
          <w:szCs w:val="20"/>
        </w:rPr>
        <w:t xml:space="preserve"> for Mac 2011, Version 14.6.7</w:t>
      </w:r>
    </w:p>
    <w:p w:rsidR="00BA0765" w:rsidP="07B78033" w:rsidRDefault="00BA0765" w14:paraId="6A077B40" w14:textId="3B7694E3">
      <w:pPr>
        <w:pBdr>
          <w:top w:val="single" w:color="FF000000" w:sz="4" w:space="1"/>
          <w:bottom w:val="single" w:color="FF000000" w:sz="4" w:space="1"/>
        </w:pBdr>
        <w:spacing w:line="276" w:lineRule="auto"/>
        <w:rPr>
          <w:sz w:val="20"/>
          <w:szCs w:val="20"/>
          <w:highlight w:val="yellow"/>
          <w:lang w:val="en-AU"/>
        </w:rPr>
      </w:pPr>
      <w:r w:rsidRPr="07B78033" w:rsidR="00BA0765">
        <w:rPr>
          <w:sz w:val="20"/>
          <w:szCs w:val="20"/>
          <w:lang w:val="en-AU"/>
        </w:rPr>
        <w:t>When using this data, please use the following citation:</w:t>
      </w:r>
      <w:r>
        <w:br/>
      </w:r>
      <w:r w:rsidRPr="07B78033" w:rsidR="00BA0765">
        <w:rPr>
          <w:sz w:val="20"/>
          <w:szCs w:val="20"/>
          <w:lang w:val="en-AU"/>
        </w:rPr>
        <w:t xml:space="preserve">Park, Susan </w:t>
      </w:r>
      <w:r w:rsidRPr="07B78033" w:rsidR="00BA0765">
        <w:rPr>
          <w:sz w:val="20"/>
          <w:szCs w:val="20"/>
          <w:lang w:val="en-AU"/>
        </w:rPr>
        <w:t>(20</w:t>
      </w:r>
      <w:r w:rsidRPr="07B78033" w:rsidR="00BC64E3">
        <w:rPr>
          <w:sz w:val="20"/>
          <w:szCs w:val="20"/>
          <w:lang w:val="en-AU"/>
        </w:rPr>
        <w:t>2</w:t>
      </w:r>
      <w:r w:rsidRPr="07B78033" w:rsidR="6F8CF6B0">
        <w:rPr>
          <w:sz w:val="20"/>
          <w:szCs w:val="20"/>
          <w:lang w:val="en-AU"/>
        </w:rPr>
        <w:t>2</w:t>
      </w:r>
      <w:r w:rsidRPr="07B78033" w:rsidR="00BA0765">
        <w:rPr>
          <w:sz w:val="20"/>
          <w:szCs w:val="20"/>
          <w:lang w:val="en-AU"/>
        </w:rPr>
        <w:t>). Claims Submitted to the Multilateral Development Bank Accountability Mechanisms – 1994-20</w:t>
      </w:r>
      <w:r w:rsidRPr="07B78033" w:rsidR="00BC64E3">
        <w:rPr>
          <w:sz w:val="20"/>
          <w:szCs w:val="20"/>
          <w:lang w:val="en-AU"/>
        </w:rPr>
        <w:t>2</w:t>
      </w:r>
      <w:r w:rsidRPr="07B78033" w:rsidR="6953B0DF">
        <w:rPr>
          <w:sz w:val="20"/>
          <w:szCs w:val="20"/>
          <w:lang w:val="en-AU"/>
        </w:rPr>
        <w:t>2</w:t>
      </w:r>
      <w:r w:rsidRPr="07B78033" w:rsidR="00BA0765">
        <w:rPr>
          <w:sz w:val="20"/>
          <w:szCs w:val="20"/>
          <w:lang w:val="en-AU"/>
        </w:rPr>
        <w:t>. The University of Sydney. http://dx.doi.org/10.25910/5bdb90e22bf46</w:t>
      </w:r>
    </w:p>
    <w:p w:rsidRPr="00317992" w:rsidR="00317992" w:rsidP="61B44AF7" w:rsidRDefault="00BA0765" w14:paraId="562110AF" w14:textId="3652E349">
      <w:pPr>
        <w:pBdr>
          <w:top w:val="single" w:color="000000" w:sz="4" w:space="1"/>
          <w:bottom w:val="single" w:color="000000" w:sz="4" w:space="1"/>
        </w:pBdr>
        <w:spacing w:line="276" w:lineRule="auto"/>
        <w:rPr>
          <w:sz w:val="20"/>
          <w:szCs w:val="20"/>
          <w:lang w:val="en-AU"/>
        </w:rPr>
        <w:sectPr w:rsidRPr="00317992" w:rsidR="00317992" w:rsidSect="000305F2">
          <w:headerReference w:type="default" r:id="rId10"/>
          <w:footerReference w:type="even" r:id="rId11"/>
          <w:footerReference w:type="default" r:id="rId12"/>
          <w:pgSz w:w="11900" w:h="16840" w:orient="portrait"/>
          <w:pgMar w:top="1440" w:right="1418" w:bottom="1440" w:left="1418" w:header="708" w:footer="708" w:gutter="0"/>
          <w:cols w:space="720"/>
          <w:titlePg/>
        </w:sectPr>
      </w:pPr>
      <w:r w:rsidRPr="61B44AF7" w:rsidR="00BA0765">
        <w:rPr>
          <w:sz w:val="20"/>
          <w:szCs w:val="20"/>
          <w:lang w:val="en-AU"/>
        </w:rPr>
        <w:t xml:space="preserve">Please consider also referencing the following citation when using this data: Park, Susan, </w:t>
      </w:r>
      <w:r w:rsidRPr="61B44AF7" w:rsidR="00317992">
        <w:rPr>
          <w:sz w:val="20"/>
          <w:szCs w:val="20"/>
          <w:lang w:val="en-AU"/>
        </w:rPr>
        <w:t>202</w:t>
      </w:r>
      <w:r w:rsidRPr="61B44AF7" w:rsidR="53753DC1">
        <w:rPr>
          <w:sz w:val="20"/>
          <w:szCs w:val="20"/>
          <w:lang w:val="en-AU"/>
        </w:rPr>
        <w:t>2</w:t>
      </w:r>
      <w:r w:rsidRPr="61B44AF7" w:rsidR="00BA0765">
        <w:rPr>
          <w:sz w:val="20"/>
          <w:szCs w:val="20"/>
          <w:lang w:val="en-AU"/>
        </w:rPr>
        <w:t xml:space="preserve">, </w:t>
      </w:r>
      <w:r w:rsidRPr="61B44AF7" w:rsidR="00BA0765">
        <w:rPr>
          <w:i w:val="1"/>
          <w:iCs w:val="1"/>
          <w:sz w:val="20"/>
          <w:szCs w:val="20"/>
          <w:lang w:val="en-AU"/>
        </w:rPr>
        <w:t xml:space="preserve">The Good Hegemon: US Power, Accountability as Justice, and the Multilateral Development </w:t>
      </w:r>
      <w:r w:rsidRPr="61B44AF7" w:rsidR="00BA0765">
        <w:rPr>
          <w:i w:val="1"/>
          <w:iCs w:val="1"/>
          <w:sz w:val="20"/>
          <w:szCs w:val="20"/>
          <w:lang w:val="en-AU"/>
        </w:rPr>
        <w:t>Banks</w:t>
      </w:r>
      <w:r w:rsidRPr="61B44AF7" w:rsidR="00317992">
        <w:rPr>
          <w:i w:val="1"/>
          <w:iCs w:val="1"/>
          <w:sz w:val="20"/>
          <w:szCs w:val="20"/>
          <w:lang w:val="en-AU"/>
        </w:rPr>
        <w:t>,</w:t>
      </w:r>
      <w:r w:rsidRPr="61B44AF7" w:rsidR="1F597058">
        <w:rPr>
          <w:i w:val="1"/>
          <w:iCs w:val="1"/>
          <w:sz w:val="20"/>
          <w:szCs w:val="20"/>
          <w:lang w:val="en-AU"/>
        </w:rPr>
        <w:t xml:space="preserve"> </w:t>
      </w:r>
      <w:r w:rsidRPr="61B44AF7" w:rsidR="00317992">
        <w:rPr>
          <w:sz w:val="20"/>
          <w:szCs w:val="20"/>
          <w:lang w:val="en-AU"/>
        </w:rPr>
        <w:t>New York, Oxford University Press.</w:t>
      </w:r>
    </w:p>
    <w:sdt>
      <w:sdtPr>
        <w:rPr>
          <w:rFonts w:asciiTheme="minorHAnsi" w:hAnsiTheme="minorHAnsi" w:eastAsiaTheme="minorEastAsia" w:cstheme="minorBidi"/>
          <w:b w:val="0"/>
          <w:bCs w:val="0"/>
          <w:color w:val="auto"/>
          <w:kern w:val="2"/>
          <w:sz w:val="24"/>
          <w:szCs w:val="24"/>
          <w:lang w:val="en-GB" w:eastAsia="ja-JP"/>
        </w:rPr>
        <w:id w:val="284017964"/>
        <w:docPartObj>
          <w:docPartGallery w:val="Table of Contents"/>
          <w:docPartUnique/>
        </w:docPartObj>
      </w:sdtPr>
      <w:sdtEndPr>
        <w:rPr>
          <w:b/>
          <w:kern w:val="0"/>
          <w:sz w:val="40"/>
          <w:szCs w:val="40"/>
          <w:lang w:eastAsia="en-US"/>
        </w:rPr>
      </w:sdtEndPr>
      <w:sdtContent>
        <w:p w:rsidRPr="008D5175" w:rsidR="008D5175" w:rsidRDefault="008D5175" w14:paraId="140A5A26" w14:textId="26B9BC21">
          <w:pPr>
            <w:pStyle w:val="TOCHeading"/>
            <w:rPr>
              <w:rFonts w:ascii="Cambria" w:hAnsi="Cambria"/>
              <w:b w:val="0"/>
              <w:color w:val="auto"/>
              <w:sz w:val="100"/>
              <w:szCs w:val="100"/>
            </w:rPr>
          </w:pPr>
          <w:r w:rsidRPr="008D5175">
            <w:rPr>
              <w:rFonts w:ascii="Cambria" w:hAnsi="Cambria"/>
              <w:b w:val="0"/>
              <w:color w:val="auto"/>
              <w:sz w:val="100"/>
              <w:szCs w:val="100"/>
            </w:rPr>
            <w:t>Contents</w:t>
          </w:r>
          <w:r>
            <w:rPr>
              <w:rFonts w:ascii="Cambria" w:hAnsi="Cambria"/>
              <w:b w:val="0"/>
              <w:color w:val="auto"/>
              <w:sz w:val="100"/>
              <w:szCs w:val="100"/>
            </w:rPr>
            <w:t>:</w:t>
          </w:r>
        </w:p>
        <w:p w:rsidRPr="00D30F3F" w:rsidR="008D5175" w:rsidP="008D5175" w:rsidRDefault="008D5175" w14:paraId="6C31194D" w14:textId="1AA35B0D">
          <w:pPr>
            <w:pStyle w:val="TOC1"/>
            <w:rPr>
              <w:b w:val="0"/>
              <w:sz w:val="32"/>
              <w:szCs w:val="32"/>
            </w:rPr>
          </w:pPr>
          <w:r w:rsidRPr="00D30F3F">
            <w:rPr>
              <w:b w:val="0"/>
              <w:sz w:val="32"/>
              <w:szCs w:val="32"/>
            </w:rPr>
            <w:t xml:space="preserve">1. </w:t>
          </w:r>
          <w:r w:rsidR="00CE48CB">
            <w:rPr>
              <w:b w:val="0"/>
              <w:sz w:val="32"/>
              <w:szCs w:val="32"/>
            </w:rPr>
            <w:tab/>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Pr="00D30F3F">
            <w:rPr>
              <w:b w:val="0"/>
              <w:sz w:val="32"/>
              <w:szCs w:val="32"/>
            </w:rPr>
            <w:t>Abbreviations</w:t>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Pr="00D30F3F">
            <w:rPr>
              <w:b w:val="0"/>
              <w:sz w:val="32"/>
              <w:szCs w:val="32"/>
            </w:rPr>
            <w:ptab w:alignment="right" w:relativeTo="margin" w:leader="dot"/>
          </w:r>
          <w:r w:rsidRPr="00D30F3F">
            <w:rPr>
              <w:b w:val="0"/>
              <w:sz w:val="32"/>
              <w:szCs w:val="32"/>
            </w:rPr>
            <w:t>1</w:t>
          </w:r>
        </w:p>
        <w:p w:rsidR="008D5175" w:rsidP="008D5175" w:rsidRDefault="008D5175" w14:paraId="5E91F822" w14:textId="18882FBE">
          <w:pPr>
            <w:pStyle w:val="TOC1"/>
            <w:rPr>
              <w:b w:val="0"/>
              <w:sz w:val="32"/>
              <w:szCs w:val="32"/>
            </w:rPr>
          </w:pPr>
          <w:r w:rsidRPr="00D30F3F">
            <w:rPr>
              <w:b w:val="0"/>
              <w:sz w:val="32"/>
              <w:szCs w:val="32"/>
            </w:rPr>
            <w:t xml:space="preserve">2. </w:t>
          </w:r>
          <w:r w:rsidR="00CE48CB">
            <w:rPr>
              <w:b w:val="0"/>
              <w:sz w:val="32"/>
              <w:szCs w:val="32"/>
            </w:rPr>
            <w:tab/>
          </w:r>
          <w:r w:rsidR="00C64617">
            <w:rPr>
              <w:b w:val="0"/>
              <w:sz w:val="32"/>
              <w:szCs w:val="32"/>
            </w:rPr>
            <w:t>General Information</w:t>
          </w:r>
          <w:r w:rsidRPr="00D30F3F">
            <w:rPr>
              <w:b w:val="0"/>
              <w:sz w:val="32"/>
              <w:szCs w:val="32"/>
            </w:rPr>
            <w:ptab w:alignment="right" w:relativeTo="margin" w:leader="dot"/>
          </w:r>
          <w:r w:rsidRPr="00D30F3F">
            <w:rPr>
              <w:b w:val="0"/>
              <w:sz w:val="32"/>
              <w:szCs w:val="32"/>
            </w:rPr>
            <w:t>2</w:t>
          </w:r>
        </w:p>
        <w:p w:rsidR="00C64617" w:rsidP="00C64617" w:rsidRDefault="00C64617" w14:paraId="0456C0EC" w14:textId="49425A1A">
          <w:pPr>
            <w:rPr>
              <w:sz w:val="32"/>
              <w:szCs w:val="32"/>
            </w:rPr>
          </w:pPr>
          <w:r>
            <w:tab/>
          </w:r>
          <w:r>
            <w:tab/>
          </w:r>
          <w:r>
            <w:t>2.1. The Banks and their Mechanisms</w:t>
          </w:r>
          <w:r w:rsidRPr="00C64617">
            <w:ptab w:alignment="right" w:relativeTo="margin" w:leader="dot"/>
          </w:r>
          <w:r w:rsidRPr="00C64617">
            <w:rPr>
              <w:sz w:val="32"/>
              <w:szCs w:val="32"/>
            </w:rPr>
            <w:t>2</w:t>
          </w:r>
        </w:p>
        <w:p w:rsidR="001561E1" w:rsidP="00C64617" w:rsidRDefault="001561E1" w14:paraId="07AB4D31" w14:textId="2C2EFEEC">
          <w:pPr>
            <w:rPr>
              <w:sz w:val="32"/>
              <w:szCs w:val="32"/>
            </w:rPr>
          </w:pPr>
          <w:r>
            <w:rPr>
              <w:sz w:val="32"/>
              <w:szCs w:val="32"/>
            </w:rPr>
            <w:tab/>
          </w:r>
          <w:r>
            <w:rPr>
              <w:sz w:val="32"/>
              <w:szCs w:val="32"/>
            </w:rPr>
            <w:tab/>
          </w:r>
          <w:r>
            <w:t>2.2. The Process</w:t>
          </w:r>
          <w:r w:rsidRPr="00C64617">
            <w:ptab w:alignment="right" w:relativeTo="margin" w:leader="dot"/>
          </w:r>
          <w:r w:rsidR="00C863CA">
            <w:rPr>
              <w:sz w:val="32"/>
              <w:szCs w:val="32"/>
            </w:rPr>
            <w:t>3</w:t>
          </w:r>
        </w:p>
        <w:p w:rsidR="00841FF2" w:rsidP="00C64617" w:rsidRDefault="00841FF2" w14:paraId="32D70D6D" w14:textId="754E4F3D">
          <w:pPr>
            <w:rPr>
              <w:sz w:val="32"/>
              <w:szCs w:val="32"/>
            </w:rPr>
          </w:pPr>
          <w:r>
            <w:rPr>
              <w:sz w:val="32"/>
              <w:szCs w:val="32"/>
            </w:rPr>
            <w:tab/>
          </w:r>
          <w:r>
            <w:rPr>
              <w:sz w:val="32"/>
              <w:szCs w:val="32"/>
            </w:rPr>
            <w:tab/>
          </w:r>
          <w:r>
            <w:t>2.3. Column Headings</w:t>
          </w:r>
          <w:r w:rsidRPr="00C64617">
            <w:ptab w:alignment="right" w:relativeTo="margin" w:leader="dot"/>
          </w:r>
          <w:r w:rsidR="00F8655C">
            <w:rPr>
              <w:sz w:val="32"/>
              <w:szCs w:val="32"/>
            </w:rPr>
            <w:t>4</w:t>
          </w:r>
        </w:p>
        <w:p w:rsidR="007A05F8" w:rsidP="00C64617" w:rsidRDefault="007A05F8" w14:paraId="55FCAAB5" w14:textId="4333400E">
          <w:pPr>
            <w:rPr>
              <w:sz w:val="32"/>
              <w:szCs w:val="32"/>
            </w:rPr>
          </w:pPr>
          <w:r>
            <w:tab/>
          </w:r>
          <w:r>
            <w:tab/>
          </w:r>
          <w:r>
            <w:t>2.4. Reasons for Non-Registration and Non-Investigation</w:t>
          </w:r>
          <w:r w:rsidRPr="00C64617">
            <w:ptab w:alignment="right" w:relativeTo="margin" w:leader="dot"/>
          </w:r>
          <w:r w:rsidR="001F40D7">
            <w:rPr>
              <w:sz w:val="32"/>
              <w:szCs w:val="32"/>
            </w:rPr>
            <w:t>6</w:t>
          </w:r>
        </w:p>
        <w:p w:rsidR="007A05F8" w:rsidP="00C64617" w:rsidRDefault="007A05F8" w14:paraId="2CBAE9CB" w14:textId="2843D969">
          <w:pPr>
            <w:rPr>
              <w:sz w:val="32"/>
              <w:szCs w:val="32"/>
            </w:rPr>
          </w:pPr>
          <w:r>
            <w:rPr>
              <w:sz w:val="32"/>
              <w:szCs w:val="32"/>
            </w:rPr>
            <w:tab/>
          </w:r>
          <w:r>
            <w:rPr>
              <w:sz w:val="32"/>
              <w:szCs w:val="32"/>
            </w:rPr>
            <w:tab/>
          </w:r>
          <w:r>
            <w:t>2.5. Non-Compliance Found in the Investigation</w:t>
          </w:r>
          <w:r w:rsidRPr="00C64617">
            <w:ptab w:alignment="right" w:relativeTo="margin" w:leader="dot"/>
          </w:r>
          <w:r w:rsidR="001F40D7">
            <w:rPr>
              <w:sz w:val="32"/>
              <w:szCs w:val="32"/>
            </w:rPr>
            <w:t>7</w:t>
          </w:r>
        </w:p>
        <w:p w:rsidRPr="00C64617" w:rsidR="00F8655C" w:rsidP="00F8655C" w:rsidRDefault="00F8655C" w14:paraId="6D23091C" w14:textId="12814E38">
          <w:pPr>
            <w:ind w:left="720" w:firstLine="720"/>
          </w:pPr>
          <w:r>
            <w:t>2.6. Intended Usage and Functionality</w:t>
          </w:r>
          <w:r w:rsidRPr="00C64617">
            <w:ptab w:alignment="right" w:relativeTo="margin" w:leader="dot"/>
          </w:r>
          <w:r w:rsidR="001F40D7">
            <w:rPr>
              <w:sz w:val="32"/>
              <w:szCs w:val="32"/>
            </w:rPr>
            <w:t>10</w:t>
          </w:r>
        </w:p>
        <w:p w:rsidR="008D5175" w:rsidP="008D5175" w:rsidRDefault="008D5175" w14:paraId="6BB518A3" w14:textId="7EE84ADA">
          <w:pPr>
            <w:pStyle w:val="TOC1"/>
            <w:rPr>
              <w:b w:val="0"/>
              <w:sz w:val="32"/>
              <w:szCs w:val="32"/>
            </w:rPr>
          </w:pPr>
          <w:r w:rsidRPr="00C64617">
            <w:rPr>
              <w:b w:val="0"/>
              <w:sz w:val="32"/>
              <w:szCs w:val="32"/>
            </w:rPr>
            <w:t>3</w:t>
          </w:r>
          <w:r w:rsidRPr="00D30F3F">
            <w:rPr>
              <w:b w:val="0"/>
              <w:sz w:val="32"/>
              <w:szCs w:val="32"/>
            </w:rPr>
            <w:t xml:space="preserve">. </w:t>
          </w:r>
          <w:r w:rsidR="00CE48CB">
            <w:rPr>
              <w:b w:val="0"/>
              <w:sz w:val="32"/>
              <w:szCs w:val="32"/>
            </w:rPr>
            <w:tab/>
          </w:r>
          <w:r w:rsidRPr="00D30F3F">
            <w:rPr>
              <w:b w:val="0"/>
              <w:sz w:val="32"/>
              <w:szCs w:val="32"/>
            </w:rPr>
            <w:t>African Development Bank</w:t>
          </w:r>
          <w:r w:rsidRPr="00D30F3F">
            <w:rPr>
              <w:b w:val="0"/>
              <w:sz w:val="32"/>
              <w:szCs w:val="32"/>
            </w:rPr>
            <w:ptab w:alignment="right" w:relativeTo="margin" w:leader="dot"/>
          </w:r>
          <w:r w:rsidR="003C2A51">
            <w:rPr>
              <w:b w:val="0"/>
              <w:sz w:val="32"/>
              <w:szCs w:val="32"/>
            </w:rPr>
            <w:t>12</w:t>
          </w:r>
        </w:p>
        <w:p w:rsidRPr="003C2A51" w:rsidR="003C2A51" w:rsidP="003C2A51" w:rsidRDefault="003C2A51" w14:paraId="7F0506F1" w14:textId="131EF392">
          <w:pPr>
            <w:ind w:left="720" w:firstLine="720"/>
          </w:pPr>
          <w:r>
            <w:t>3.1. Processing Procedure</w:t>
          </w:r>
          <w:r w:rsidRPr="00C64617">
            <w:ptab w:alignment="right" w:relativeTo="margin" w:leader="dot"/>
          </w:r>
          <w:r>
            <w:rPr>
              <w:sz w:val="32"/>
              <w:szCs w:val="32"/>
            </w:rPr>
            <w:t>12</w:t>
          </w:r>
        </w:p>
        <w:p w:rsidR="008D5175" w:rsidP="008D5175" w:rsidRDefault="008D5175" w14:paraId="1D7F23D9" w14:textId="2DCF4C74">
          <w:pPr>
            <w:pStyle w:val="TOC1"/>
            <w:rPr>
              <w:b w:val="0"/>
              <w:sz w:val="32"/>
              <w:szCs w:val="32"/>
            </w:rPr>
          </w:pPr>
          <w:r w:rsidRPr="00D30F3F">
            <w:rPr>
              <w:b w:val="0"/>
              <w:sz w:val="32"/>
              <w:szCs w:val="32"/>
            </w:rPr>
            <w:t xml:space="preserve">4. </w:t>
          </w:r>
          <w:r w:rsidR="00CE48CB">
            <w:rPr>
              <w:b w:val="0"/>
              <w:sz w:val="32"/>
              <w:szCs w:val="32"/>
            </w:rPr>
            <w:tab/>
          </w:r>
          <w:r w:rsidRPr="00D30F3F">
            <w:rPr>
              <w:b w:val="0"/>
              <w:sz w:val="32"/>
              <w:szCs w:val="32"/>
            </w:rPr>
            <w:t>Asian Development Bank</w:t>
          </w:r>
          <w:r w:rsidRPr="00D30F3F">
            <w:rPr>
              <w:b w:val="0"/>
              <w:sz w:val="32"/>
              <w:szCs w:val="32"/>
            </w:rPr>
            <w:ptab w:alignment="right" w:relativeTo="margin" w:leader="dot"/>
          </w:r>
          <w:r w:rsidR="003C2A51">
            <w:rPr>
              <w:b w:val="0"/>
              <w:sz w:val="32"/>
              <w:szCs w:val="32"/>
            </w:rPr>
            <w:t>13</w:t>
          </w:r>
        </w:p>
        <w:p w:rsidR="006F50C9" w:rsidP="006F50C9" w:rsidRDefault="002B06AC" w14:paraId="31ADE071" w14:textId="7E524806">
          <w:pPr>
            <w:ind w:left="720" w:firstLine="720"/>
            <w:rPr>
              <w:sz w:val="32"/>
              <w:szCs w:val="32"/>
            </w:rPr>
          </w:pPr>
          <w:r>
            <w:t>4.1</w:t>
          </w:r>
          <w:r w:rsidR="006F50C9">
            <w:t>. Data Discrepancies</w:t>
          </w:r>
          <w:r w:rsidRPr="00C64617" w:rsidR="006F50C9">
            <w:ptab w:alignment="right" w:relativeTo="margin" w:leader="dot"/>
          </w:r>
          <w:r w:rsidR="006F50C9">
            <w:rPr>
              <w:sz w:val="32"/>
              <w:szCs w:val="32"/>
            </w:rPr>
            <w:t>1</w:t>
          </w:r>
          <w:r w:rsidR="003C2A51">
            <w:rPr>
              <w:sz w:val="32"/>
              <w:szCs w:val="32"/>
            </w:rPr>
            <w:t>3</w:t>
          </w:r>
        </w:p>
        <w:p w:rsidRPr="006F50C9" w:rsidR="002B06AC" w:rsidP="002B06AC" w:rsidRDefault="002B06AC" w14:paraId="39B72470" w14:textId="3E970A60">
          <w:pPr>
            <w:ind w:left="720" w:firstLine="720"/>
          </w:pPr>
          <w:r>
            <w:t>4.2. Processing Procedure</w:t>
          </w:r>
          <w:r w:rsidRPr="00C64617">
            <w:ptab w:alignment="right" w:relativeTo="margin" w:leader="dot"/>
          </w:r>
          <w:r>
            <w:rPr>
              <w:sz w:val="32"/>
              <w:szCs w:val="32"/>
            </w:rPr>
            <w:t>14</w:t>
          </w:r>
        </w:p>
        <w:p w:rsidR="008D5175" w:rsidP="008D5175" w:rsidRDefault="008D5175" w14:paraId="315FCE37" w14:textId="3FB5ABA4">
          <w:pPr>
            <w:pStyle w:val="TOC1"/>
            <w:rPr>
              <w:b w:val="0"/>
              <w:sz w:val="32"/>
              <w:szCs w:val="32"/>
            </w:rPr>
          </w:pPr>
          <w:r w:rsidRPr="00D30F3F">
            <w:rPr>
              <w:b w:val="0"/>
              <w:sz w:val="32"/>
              <w:szCs w:val="32"/>
            </w:rPr>
            <w:t xml:space="preserve">5. </w:t>
          </w:r>
          <w:r w:rsidR="00CE48CB">
            <w:rPr>
              <w:b w:val="0"/>
              <w:sz w:val="32"/>
              <w:szCs w:val="32"/>
            </w:rPr>
            <w:tab/>
          </w:r>
          <w:r w:rsidRPr="00D30F3F">
            <w:rPr>
              <w:b w:val="0"/>
              <w:sz w:val="32"/>
              <w:szCs w:val="32"/>
            </w:rPr>
            <w:t>European Bank for Reconstruction and Development</w:t>
          </w:r>
          <w:r w:rsidRPr="00D30F3F">
            <w:rPr>
              <w:b w:val="0"/>
              <w:sz w:val="32"/>
              <w:szCs w:val="32"/>
            </w:rPr>
            <w:ptab w:alignment="right" w:relativeTo="margin" w:leader="dot"/>
          </w:r>
          <w:r w:rsidR="003C2A51">
            <w:rPr>
              <w:b w:val="0"/>
              <w:sz w:val="32"/>
              <w:szCs w:val="32"/>
            </w:rPr>
            <w:t>15</w:t>
          </w:r>
        </w:p>
        <w:p w:rsidR="00EF7CDC" w:rsidP="00EF7CDC" w:rsidRDefault="002B06AC" w14:paraId="340C2827" w14:textId="3BB35E1C">
          <w:pPr>
            <w:ind w:left="720" w:firstLine="720"/>
            <w:rPr>
              <w:sz w:val="32"/>
              <w:szCs w:val="32"/>
            </w:rPr>
          </w:pPr>
          <w:r>
            <w:t>5.1</w:t>
          </w:r>
          <w:r w:rsidR="006F50C9">
            <w:t>. Data Discrepancies</w:t>
          </w:r>
          <w:r w:rsidRPr="00C64617" w:rsidR="00EF7CDC">
            <w:ptab w:alignment="right" w:relativeTo="margin" w:leader="dot"/>
          </w:r>
          <w:r w:rsidR="00EF7CDC">
            <w:rPr>
              <w:sz w:val="32"/>
              <w:szCs w:val="32"/>
            </w:rPr>
            <w:t>1</w:t>
          </w:r>
          <w:r>
            <w:rPr>
              <w:sz w:val="32"/>
              <w:szCs w:val="32"/>
            </w:rPr>
            <w:t>5</w:t>
          </w:r>
        </w:p>
        <w:p w:rsidRPr="00EF7CDC" w:rsidR="002B06AC" w:rsidP="002B06AC" w:rsidRDefault="002B06AC" w14:paraId="754EF156" w14:textId="428840DF">
          <w:pPr>
            <w:ind w:left="720" w:firstLine="720"/>
          </w:pPr>
          <w:r>
            <w:t>5.2. Processing Procedure</w:t>
          </w:r>
          <w:r w:rsidRPr="00C64617">
            <w:ptab w:alignment="right" w:relativeTo="margin" w:leader="dot"/>
          </w:r>
          <w:r>
            <w:rPr>
              <w:sz w:val="32"/>
              <w:szCs w:val="32"/>
            </w:rPr>
            <w:t>16</w:t>
          </w:r>
        </w:p>
        <w:p w:rsidR="008D5175" w:rsidP="008D5175" w:rsidRDefault="008D5175" w14:paraId="4376DDB6" w14:textId="3BE21A9E">
          <w:pPr>
            <w:pStyle w:val="TOC1"/>
            <w:rPr>
              <w:b w:val="0"/>
              <w:sz w:val="32"/>
              <w:szCs w:val="32"/>
            </w:rPr>
          </w:pPr>
          <w:r w:rsidRPr="00D30F3F">
            <w:rPr>
              <w:b w:val="0"/>
              <w:sz w:val="32"/>
              <w:szCs w:val="32"/>
            </w:rPr>
            <w:t xml:space="preserve">6. </w:t>
          </w:r>
          <w:r w:rsidR="00CE48CB">
            <w:rPr>
              <w:b w:val="0"/>
              <w:sz w:val="32"/>
              <w:szCs w:val="32"/>
            </w:rPr>
            <w:tab/>
          </w:r>
          <w:r w:rsidRPr="00D30F3F">
            <w:rPr>
              <w:b w:val="0"/>
              <w:sz w:val="32"/>
              <w:szCs w:val="32"/>
            </w:rPr>
            <w:t>Inter-American Development Bank</w:t>
          </w:r>
          <w:r w:rsidRPr="00D30F3F">
            <w:rPr>
              <w:b w:val="0"/>
              <w:sz w:val="32"/>
              <w:szCs w:val="32"/>
            </w:rPr>
            <w:ptab w:alignment="right" w:relativeTo="margin" w:leader="dot"/>
          </w:r>
          <w:r w:rsidR="002B06AC">
            <w:rPr>
              <w:b w:val="0"/>
              <w:sz w:val="32"/>
              <w:szCs w:val="32"/>
            </w:rPr>
            <w:t>17</w:t>
          </w:r>
        </w:p>
        <w:p w:rsidR="007C147F" w:rsidP="007C147F" w:rsidRDefault="007C147F" w14:paraId="01C2F53A" w14:textId="34EB49D3">
          <w:pPr>
            <w:ind w:left="720" w:firstLine="720"/>
            <w:rPr>
              <w:sz w:val="32"/>
              <w:szCs w:val="32"/>
            </w:rPr>
          </w:pPr>
          <w:r>
            <w:t>6.1. Data Discrepancies</w:t>
          </w:r>
          <w:r w:rsidRPr="00C64617">
            <w:ptab w:alignment="right" w:relativeTo="margin" w:leader="dot"/>
          </w:r>
          <w:r>
            <w:rPr>
              <w:sz w:val="32"/>
              <w:szCs w:val="32"/>
            </w:rPr>
            <w:t>1</w:t>
          </w:r>
          <w:r w:rsidR="002B06AC">
            <w:rPr>
              <w:sz w:val="32"/>
              <w:szCs w:val="32"/>
            </w:rPr>
            <w:t>7</w:t>
          </w:r>
        </w:p>
        <w:p w:rsidRPr="007C147F" w:rsidR="002B06AC" w:rsidP="002B06AC" w:rsidRDefault="002B06AC" w14:paraId="714E6463" w14:textId="678A052C">
          <w:pPr>
            <w:ind w:left="720" w:firstLine="720"/>
          </w:pPr>
          <w:r>
            <w:t>6.2. Processing Procedure</w:t>
          </w:r>
          <w:r w:rsidRPr="00C64617">
            <w:ptab w:alignment="right" w:relativeTo="margin" w:leader="dot"/>
          </w:r>
          <w:r>
            <w:rPr>
              <w:sz w:val="32"/>
              <w:szCs w:val="32"/>
            </w:rPr>
            <w:t>17</w:t>
          </w:r>
        </w:p>
        <w:p w:rsidR="008D5175" w:rsidP="008D5175" w:rsidRDefault="008D5175" w14:paraId="284A951C" w14:textId="6732ABA4">
          <w:pPr>
            <w:pStyle w:val="TOC1"/>
            <w:rPr>
              <w:b w:val="0"/>
              <w:sz w:val="32"/>
              <w:szCs w:val="32"/>
            </w:rPr>
          </w:pPr>
          <w:r w:rsidRPr="00D30F3F">
            <w:rPr>
              <w:b w:val="0"/>
              <w:sz w:val="32"/>
              <w:szCs w:val="32"/>
            </w:rPr>
            <w:t xml:space="preserve">7. </w:t>
          </w:r>
          <w:r w:rsidR="00CE48CB">
            <w:rPr>
              <w:b w:val="0"/>
              <w:sz w:val="32"/>
              <w:szCs w:val="32"/>
            </w:rPr>
            <w:tab/>
          </w:r>
          <w:r w:rsidRPr="00D30F3F">
            <w:rPr>
              <w:b w:val="0"/>
              <w:sz w:val="32"/>
              <w:szCs w:val="32"/>
            </w:rPr>
            <w:t>International Finance Corporation</w:t>
          </w:r>
          <w:r w:rsidRPr="00D30F3F">
            <w:rPr>
              <w:b w:val="0"/>
              <w:sz w:val="32"/>
              <w:szCs w:val="32"/>
            </w:rPr>
            <w:ptab w:alignment="right" w:relativeTo="margin" w:leader="dot"/>
          </w:r>
          <w:r w:rsidR="002B06AC">
            <w:rPr>
              <w:b w:val="0"/>
              <w:sz w:val="32"/>
              <w:szCs w:val="32"/>
            </w:rPr>
            <w:t>18</w:t>
          </w:r>
        </w:p>
        <w:p w:rsidR="00195088" w:rsidP="00195088" w:rsidRDefault="00195088" w14:paraId="1DFF6E5A" w14:textId="0C1E206D">
          <w:pPr>
            <w:ind w:left="720" w:firstLine="720"/>
            <w:rPr>
              <w:sz w:val="32"/>
              <w:szCs w:val="32"/>
            </w:rPr>
          </w:pPr>
          <w:r>
            <w:t>7.1. Data Discrepancies</w:t>
          </w:r>
          <w:r w:rsidRPr="00C64617">
            <w:ptab w:alignment="right" w:relativeTo="margin" w:leader="dot"/>
          </w:r>
          <w:r>
            <w:rPr>
              <w:sz w:val="32"/>
              <w:szCs w:val="32"/>
            </w:rPr>
            <w:t>1</w:t>
          </w:r>
          <w:r w:rsidR="002B06AC">
            <w:rPr>
              <w:sz w:val="32"/>
              <w:szCs w:val="32"/>
            </w:rPr>
            <w:t>8</w:t>
          </w:r>
        </w:p>
        <w:p w:rsidRPr="00195088" w:rsidR="002B06AC" w:rsidP="002B06AC" w:rsidRDefault="002B06AC" w14:paraId="02442A79" w14:textId="281785B3">
          <w:pPr>
            <w:ind w:left="720" w:firstLine="720"/>
          </w:pPr>
          <w:r>
            <w:t>7.2. Processing Procedure</w:t>
          </w:r>
          <w:r w:rsidRPr="00C64617">
            <w:ptab w:alignment="right" w:relativeTo="margin" w:leader="dot"/>
          </w:r>
          <w:r>
            <w:rPr>
              <w:sz w:val="32"/>
              <w:szCs w:val="32"/>
            </w:rPr>
            <w:t>19</w:t>
          </w:r>
        </w:p>
        <w:p w:rsidR="008D5175" w:rsidP="008D5175" w:rsidRDefault="008D5175" w14:paraId="504714CF" w14:textId="33036B91">
          <w:pPr>
            <w:pStyle w:val="TOC1"/>
            <w:rPr>
              <w:b w:val="0"/>
              <w:sz w:val="32"/>
              <w:szCs w:val="32"/>
            </w:rPr>
          </w:pPr>
          <w:r w:rsidRPr="00D30F3F">
            <w:rPr>
              <w:b w:val="0"/>
              <w:sz w:val="32"/>
              <w:szCs w:val="32"/>
            </w:rPr>
            <w:t xml:space="preserve">8. </w:t>
          </w:r>
          <w:r w:rsidR="00CE48CB">
            <w:rPr>
              <w:b w:val="0"/>
              <w:sz w:val="32"/>
              <w:szCs w:val="32"/>
            </w:rPr>
            <w:tab/>
          </w:r>
          <w:r w:rsidRPr="00D30F3F">
            <w:rPr>
              <w:b w:val="0"/>
              <w:sz w:val="32"/>
              <w:szCs w:val="32"/>
            </w:rPr>
            <w:t>World Bank</w:t>
          </w:r>
          <w:r w:rsidRPr="00D30F3F">
            <w:rPr>
              <w:b w:val="0"/>
              <w:sz w:val="32"/>
              <w:szCs w:val="32"/>
            </w:rPr>
            <w:ptab w:alignment="right" w:relativeTo="margin" w:leader="dot"/>
          </w:r>
          <w:r w:rsidR="002B06AC">
            <w:rPr>
              <w:b w:val="0"/>
              <w:sz w:val="32"/>
              <w:szCs w:val="32"/>
            </w:rPr>
            <w:t>20</w:t>
          </w:r>
        </w:p>
        <w:p w:rsidR="00C63895" w:rsidP="00C63895" w:rsidRDefault="00C63895" w14:paraId="3764EC79" w14:textId="2F8A3C81">
          <w:pPr>
            <w:rPr>
              <w:sz w:val="32"/>
              <w:szCs w:val="32"/>
            </w:rPr>
          </w:pPr>
          <w:r>
            <w:tab/>
          </w:r>
          <w:r>
            <w:tab/>
          </w:r>
          <w:r>
            <w:t>8.1. Column Headings</w:t>
          </w:r>
          <w:r w:rsidR="00333C06">
            <w:t xml:space="preserve"> and Spreadsheet Layout</w:t>
          </w:r>
          <w:r w:rsidRPr="00C64617">
            <w:ptab w:alignment="right" w:relativeTo="margin" w:leader="dot"/>
          </w:r>
          <w:r w:rsidR="002B06AC">
            <w:rPr>
              <w:sz w:val="32"/>
              <w:szCs w:val="32"/>
            </w:rPr>
            <w:t>20</w:t>
          </w:r>
        </w:p>
        <w:p w:rsidRPr="00C63895" w:rsidR="00333C06" w:rsidP="00C63895" w:rsidRDefault="00333C06" w14:paraId="232FED13" w14:textId="0D11A0D1">
          <w:r>
            <w:tab/>
          </w:r>
          <w:r>
            <w:tab/>
          </w:r>
          <w:r>
            <w:t>8.2.</w:t>
          </w:r>
          <w:r w:rsidR="00BD33FD">
            <w:t xml:space="preserve"> Intended Usage and Functionality</w:t>
          </w:r>
          <w:r w:rsidRPr="00C64617">
            <w:ptab w:alignment="right" w:relativeTo="margin" w:leader="dot"/>
          </w:r>
          <w:r w:rsidR="003C2A51">
            <w:rPr>
              <w:sz w:val="32"/>
              <w:szCs w:val="32"/>
            </w:rPr>
            <w:t>2</w:t>
          </w:r>
          <w:r w:rsidR="002B06AC">
            <w:rPr>
              <w:sz w:val="32"/>
              <w:szCs w:val="32"/>
            </w:rPr>
            <w:t>2</w:t>
          </w:r>
        </w:p>
        <w:p w:rsidRPr="008D5175" w:rsidR="008D5175" w:rsidP="008D5175" w:rsidRDefault="00000000" w14:paraId="54ECC156" w14:textId="20E91CB3"/>
      </w:sdtContent>
    </w:sdt>
    <w:p w:rsidRPr="008D5175" w:rsidR="008D5175" w:rsidP="008D5175" w:rsidRDefault="008D5175" w14:paraId="6E7EC075" w14:textId="3652A98D">
      <w:pPr>
        <w:spacing w:line="276" w:lineRule="auto"/>
        <w:rPr>
          <w:sz w:val="40"/>
          <w:szCs w:val="40"/>
        </w:rPr>
        <w:sectPr w:rsidRPr="008D5175" w:rsidR="008D5175" w:rsidSect="006204D0">
          <w:headerReference w:type="default" r:id="rId13"/>
          <w:footerReference w:type="even" r:id="rId14"/>
          <w:footerReference w:type="default" r:id="rId15"/>
          <w:pgSz w:w="11900" w:h="16840" w:orient="portrait"/>
          <w:pgMar w:top="1440" w:right="1418" w:bottom="1440" w:left="1418" w:header="708" w:footer="708" w:gutter="0"/>
          <w:pgNumType w:start="1"/>
          <w:cols w:space="708"/>
          <w:titlePg/>
          <w:docGrid w:linePitch="360"/>
        </w:sectPr>
      </w:pPr>
    </w:p>
    <w:p w:rsidRPr="00191F33" w:rsidR="00D30F3F" w:rsidP="00191F33" w:rsidRDefault="00A90933" w14:paraId="065AF5BB" w14:textId="1F7702DC">
      <w:pPr>
        <w:jc w:val="center"/>
        <w:rPr>
          <w:sz w:val="38"/>
          <w:szCs w:val="38"/>
          <w:u w:val="single"/>
        </w:rPr>
      </w:pPr>
      <w:bookmarkStart w:name="AbbreviationsandAcronyms" w:id="0"/>
      <w:bookmarkEnd w:id="0"/>
      <w:r w:rsidRPr="004C0219">
        <w:rPr>
          <w:sz w:val="38"/>
          <w:szCs w:val="38"/>
          <w:u w:val="single"/>
        </w:rPr>
        <w:lastRenderedPageBreak/>
        <w:t xml:space="preserve">1. </w:t>
      </w:r>
      <w:r w:rsidRPr="004C0219" w:rsidR="00D30F3F">
        <w:rPr>
          <w:sz w:val="38"/>
          <w:szCs w:val="38"/>
          <w:u w:val="single"/>
        </w:rPr>
        <w:t>Abbreviations and Acronyms</w:t>
      </w:r>
    </w:p>
    <w:p w:rsidR="00D30F3F" w:rsidP="00B123FA" w:rsidRDefault="00D30F3F" w14:paraId="45A3C6C1" w14:textId="370CB5C0">
      <w:pPr>
        <w:tabs>
          <w:tab w:val="left" w:pos="2268"/>
        </w:tabs>
        <w:spacing w:line="276" w:lineRule="auto"/>
        <w:rPr>
          <w:sz w:val="28"/>
          <w:szCs w:val="28"/>
        </w:rPr>
      </w:pPr>
      <w:r>
        <w:rPr>
          <w:sz w:val="28"/>
          <w:szCs w:val="28"/>
        </w:rPr>
        <w:t>ADB</w:t>
      </w:r>
      <w:r>
        <w:rPr>
          <w:sz w:val="28"/>
          <w:szCs w:val="28"/>
        </w:rPr>
        <w:tab/>
      </w:r>
      <w:r>
        <w:rPr>
          <w:sz w:val="28"/>
          <w:szCs w:val="28"/>
        </w:rPr>
        <w:t>Asian Development Bank</w:t>
      </w:r>
    </w:p>
    <w:p w:rsidR="00D30F3F" w:rsidP="00B123FA" w:rsidRDefault="00D30F3F" w14:paraId="6A91A7E6" w14:textId="696AEA1A">
      <w:pPr>
        <w:tabs>
          <w:tab w:val="left" w:pos="2268"/>
        </w:tabs>
        <w:spacing w:line="276" w:lineRule="auto"/>
        <w:rPr>
          <w:sz w:val="28"/>
          <w:szCs w:val="28"/>
        </w:rPr>
      </w:pPr>
      <w:r>
        <w:rPr>
          <w:sz w:val="28"/>
          <w:szCs w:val="28"/>
        </w:rPr>
        <w:t>AfDB</w:t>
      </w:r>
      <w:r>
        <w:rPr>
          <w:sz w:val="28"/>
          <w:szCs w:val="28"/>
        </w:rPr>
        <w:tab/>
      </w:r>
      <w:r>
        <w:rPr>
          <w:sz w:val="28"/>
          <w:szCs w:val="28"/>
        </w:rPr>
        <w:t>African Development Bank</w:t>
      </w:r>
    </w:p>
    <w:p w:rsidR="001C494E" w:rsidP="00B123FA" w:rsidRDefault="001C494E" w14:paraId="36984B88" w14:textId="0B967082">
      <w:pPr>
        <w:tabs>
          <w:tab w:val="left" w:pos="2268"/>
        </w:tabs>
        <w:spacing w:line="276" w:lineRule="auto"/>
        <w:rPr>
          <w:sz w:val="28"/>
          <w:szCs w:val="28"/>
        </w:rPr>
      </w:pPr>
      <w:r>
        <w:rPr>
          <w:sz w:val="28"/>
          <w:szCs w:val="28"/>
        </w:rPr>
        <w:t>AM</w:t>
      </w:r>
      <w:r>
        <w:rPr>
          <w:sz w:val="28"/>
          <w:szCs w:val="28"/>
        </w:rPr>
        <w:tab/>
      </w:r>
      <w:r>
        <w:rPr>
          <w:sz w:val="28"/>
          <w:szCs w:val="28"/>
        </w:rPr>
        <w:t>Accountability Mechanism</w:t>
      </w:r>
    </w:p>
    <w:p w:rsidR="00137A15" w:rsidP="00B123FA" w:rsidRDefault="00137A15" w14:paraId="0116856E" w14:textId="580975CC">
      <w:pPr>
        <w:tabs>
          <w:tab w:val="left" w:pos="2268"/>
        </w:tabs>
        <w:spacing w:line="276" w:lineRule="auto"/>
        <w:rPr>
          <w:sz w:val="28"/>
          <w:szCs w:val="28"/>
        </w:rPr>
      </w:pPr>
      <w:r>
        <w:rPr>
          <w:sz w:val="28"/>
          <w:szCs w:val="28"/>
        </w:rPr>
        <w:t>BETF</w:t>
      </w:r>
      <w:r>
        <w:rPr>
          <w:sz w:val="28"/>
          <w:szCs w:val="28"/>
        </w:rPr>
        <w:tab/>
      </w:r>
      <w:r>
        <w:rPr>
          <w:sz w:val="28"/>
          <w:szCs w:val="28"/>
        </w:rPr>
        <w:t>Bank Executed Trust Fund</w:t>
      </w:r>
    </w:p>
    <w:p w:rsidR="00A54C2C" w:rsidP="00B123FA" w:rsidRDefault="00191F33" w14:paraId="58FF8944" w14:textId="1E3C93BD">
      <w:pPr>
        <w:tabs>
          <w:tab w:val="left" w:pos="2268"/>
        </w:tabs>
        <w:spacing w:line="276" w:lineRule="auto"/>
        <w:rPr>
          <w:sz w:val="28"/>
          <w:szCs w:val="28"/>
        </w:rPr>
      </w:pPr>
      <w:r w:rsidRPr="00A54C2C">
        <w:rPr>
          <w:sz w:val="28"/>
          <w:szCs w:val="28"/>
        </w:rPr>
        <w:t>BP</w:t>
      </w:r>
      <w:r w:rsidR="006C0782">
        <w:rPr>
          <w:sz w:val="28"/>
          <w:szCs w:val="28"/>
        </w:rPr>
        <w:tab/>
      </w:r>
      <w:r w:rsidR="006C0782">
        <w:rPr>
          <w:sz w:val="28"/>
          <w:szCs w:val="28"/>
        </w:rPr>
        <w:t>Bank P</w:t>
      </w:r>
      <w:r w:rsidR="00A54C2C">
        <w:rPr>
          <w:sz w:val="28"/>
          <w:szCs w:val="28"/>
        </w:rPr>
        <w:t>rocedure</w:t>
      </w:r>
    </w:p>
    <w:p w:rsidR="00B123FA" w:rsidP="00B123FA" w:rsidRDefault="00B123FA" w14:paraId="69A0F30F" w14:textId="5E996F0C">
      <w:pPr>
        <w:tabs>
          <w:tab w:val="left" w:pos="2268"/>
        </w:tabs>
        <w:spacing w:line="276" w:lineRule="auto"/>
        <w:rPr>
          <w:sz w:val="28"/>
          <w:szCs w:val="28"/>
        </w:rPr>
      </w:pPr>
      <w:r>
        <w:rPr>
          <w:sz w:val="28"/>
          <w:szCs w:val="28"/>
        </w:rPr>
        <w:t>CAO</w:t>
      </w:r>
      <w:r>
        <w:rPr>
          <w:sz w:val="28"/>
          <w:szCs w:val="28"/>
        </w:rPr>
        <w:tab/>
      </w:r>
      <w:r>
        <w:rPr>
          <w:sz w:val="28"/>
          <w:szCs w:val="28"/>
        </w:rPr>
        <w:t>Compliance Advisor Ombudsman</w:t>
      </w:r>
    </w:p>
    <w:p w:rsidR="00B210C0" w:rsidP="00B123FA" w:rsidRDefault="00B210C0" w14:paraId="49D8646A" w14:textId="7D91FB01">
      <w:pPr>
        <w:tabs>
          <w:tab w:val="left" w:pos="2268"/>
        </w:tabs>
        <w:spacing w:line="276" w:lineRule="auto"/>
        <w:rPr>
          <w:sz w:val="28"/>
          <w:szCs w:val="28"/>
        </w:rPr>
      </w:pPr>
      <w:r>
        <w:rPr>
          <w:sz w:val="28"/>
          <w:szCs w:val="28"/>
        </w:rPr>
        <w:t>CRO</w:t>
      </w:r>
      <w:r>
        <w:rPr>
          <w:sz w:val="28"/>
          <w:szCs w:val="28"/>
        </w:rPr>
        <w:tab/>
      </w:r>
      <w:r>
        <w:rPr>
          <w:sz w:val="28"/>
          <w:szCs w:val="28"/>
        </w:rPr>
        <w:t xml:space="preserve">Complaints Receiving Officer </w:t>
      </w:r>
    </w:p>
    <w:p w:rsidR="00B123FA" w:rsidP="00B123FA" w:rsidRDefault="00B123FA" w14:paraId="5EC3332C" w14:textId="54B549AD">
      <w:pPr>
        <w:tabs>
          <w:tab w:val="left" w:pos="2268"/>
        </w:tabs>
        <w:spacing w:line="276" w:lineRule="auto"/>
        <w:rPr>
          <w:sz w:val="28"/>
          <w:szCs w:val="28"/>
        </w:rPr>
      </w:pPr>
      <w:r>
        <w:rPr>
          <w:sz w:val="28"/>
          <w:szCs w:val="28"/>
        </w:rPr>
        <w:t>CRP</w:t>
      </w:r>
      <w:r>
        <w:rPr>
          <w:sz w:val="28"/>
          <w:szCs w:val="28"/>
        </w:rPr>
        <w:tab/>
      </w:r>
      <w:r>
        <w:rPr>
          <w:sz w:val="28"/>
          <w:szCs w:val="28"/>
        </w:rPr>
        <w:t>Compliance Review Panel</w:t>
      </w:r>
    </w:p>
    <w:p w:rsidR="00D30F3F" w:rsidP="00B123FA" w:rsidRDefault="00D30F3F" w14:paraId="7DA56635" w14:textId="6746E44E">
      <w:pPr>
        <w:tabs>
          <w:tab w:val="left" w:pos="2268"/>
        </w:tabs>
        <w:spacing w:line="276" w:lineRule="auto"/>
        <w:rPr>
          <w:sz w:val="28"/>
          <w:szCs w:val="28"/>
        </w:rPr>
      </w:pPr>
      <w:r w:rsidRPr="61B44AF7" w:rsidR="00D30F3F">
        <w:rPr>
          <w:sz w:val="28"/>
          <w:szCs w:val="28"/>
        </w:rPr>
        <w:t>EBRD</w:t>
      </w:r>
      <w:r>
        <w:tab/>
      </w:r>
      <w:r w:rsidRPr="61B44AF7" w:rsidR="00D30F3F">
        <w:rPr>
          <w:sz w:val="28"/>
          <w:szCs w:val="28"/>
        </w:rPr>
        <w:t>European Bank for Reconstruction and Development</w:t>
      </w:r>
    </w:p>
    <w:p w:rsidR="17CF7A93" w:rsidP="61B44AF7" w:rsidRDefault="17CF7A93" w14:paraId="5EB83F31" w14:textId="7F9AB92D">
      <w:pPr>
        <w:pStyle w:val="Normal"/>
        <w:tabs>
          <w:tab w:val="left" w:leader="none" w:pos="2268"/>
        </w:tabs>
        <w:spacing w:line="276" w:lineRule="auto"/>
        <w:rPr>
          <w:sz w:val="28"/>
          <w:szCs w:val="28"/>
        </w:rPr>
      </w:pPr>
      <w:r w:rsidRPr="61B44AF7" w:rsidR="17CF7A93">
        <w:rPr>
          <w:sz w:val="28"/>
          <w:szCs w:val="28"/>
        </w:rPr>
        <w:t>IBRD</w:t>
      </w:r>
      <w:r>
        <w:tab/>
      </w:r>
      <w:r w:rsidRPr="61B44AF7" w:rsidR="17CF7A93">
        <w:rPr>
          <w:sz w:val="28"/>
          <w:szCs w:val="28"/>
        </w:rPr>
        <w:t>International Bank for Reconstruction and Development</w:t>
      </w:r>
    </w:p>
    <w:p w:rsidR="17CF7A93" w:rsidP="61B44AF7" w:rsidRDefault="17CF7A93" w14:paraId="0ACCEDF8" w14:textId="04A5B028">
      <w:pPr>
        <w:pStyle w:val="Normal"/>
        <w:tabs>
          <w:tab w:val="left" w:leader="none" w:pos="2268"/>
        </w:tabs>
        <w:spacing w:line="276" w:lineRule="auto"/>
        <w:rPr>
          <w:sz w:val="28"/>
          <w:szCs w:val="28"/>
        </w:rPr>
      </w:pPr>
      <w:r w:rsidRPr="61B44AF7" w:rsidR="17CF7A93">
        <w:rPr>
          <w:sz w:val="28"/>
          <w:szCs w:val="28"/>
        </w:rPr>
        <w:t>IDA</w:t>
      </w:r>
      <w:r>
        <w:tab/>
      </w:r>
      <w:r w:rsidRPr="61B44AF7" w:rsidR="17CF7A93">
        <w:rPr>
          <w:sz w:val="28"/>
          <w:szCs w:val="28"/>
        </w:rPr>
        <w:t>International Development Association</w:t>
      </w:r>
    </w:p>
    <w:p w:rsidR="00D30F3F" w:rsidP="00B123FA" w:rsidRDefault="00B123FA" w14:paraId="4D4EE8D4" w14:textId="679C49F1">
      <w:pPr>
        <w:tabs>
          <w:tab w:val="left" w:pos="2268"/>
        </w:tabs>
        <w:spacing w:line="276" w:lineRule="auto"/>
        <w:rPr>
          <w:sz w:val="28"/>
          <w:szCs w:val="28"/>
        </w:rPr>
      </w:pPr>
      <w:r>
        <w:rPr>
          <w:sz w:val="28"/>
          <w:szCs w:val="28"/>
        </w:rPr>
        <w:t>IDB</w:t>
      </w:r>
      <w:r>
        <w:rPr>
          <w:sz w:val="28"/>
          <w:szCs w:val="28"/>
        </w:rPr>
        <w:tab/>
      </w:r>
      <w:r>
        <w:rPr>
          <w:sz w:val="28"/>
          <w:szCs w:val="28"/>
        </w:rPr>
        <w:t>Inter-American Development Bank</w:t>
      </w:r>
    </w:p>
    <w:p w:rsidR="00B123FA" w:rsidP="00B123FA" w:rsidRDefault="00B123FA" w14:paraId="32903735" w14:textId="61A2C38B">
      <w:pPr>
        <w:tabs>
          <w:tab w:val="left" w:pos="2268"/>
        </w:tabs>
        <w:spacing w:line="276" w:lineRule="auto"/>
        <w:rPr>
          <w:sz w:val="28"/>
          <w:szCs w:val="28"/>
        </w:rPr>
      </w:pPr>
      <w:r>
        <w:rPr>
          <w:sz w:val="28"/>
          <w:szCs w:val="28"/>
        </w:rPr>
        <w:t>IF</w:t>
      </w:r>
      <w:r>
        <w:rPr>
          <w:sz w:val="28"/>
          <w:szCs w:val="28"/>
        </w:rPr>
        <w:tab/>
      </w:r>
      <w:r>
        <w:rPr>
          <w:sz w:val="28"/>
          <w:szCs w:val="28"/>
        </w:rPr>
        <w:t>Inspection Function</w:t>
      </w:r>
    </w:p>
    <w:p w:rsidR="00B123FA" w:rsidP="00263FF0" w:rsidRDefault="00B123FA" w14:paraId="59492EFB" w14:textId="6A9654DA">
      <w:pPr>
        <w:tabs>
          <w:tab w:val="left" w:pos="2268"/>
        </w:tabs>
        <w:spacing w:line="276" w:lineRule="auto"/>
        <w:ind w:left="2268" w:hanging="2268"/>
        <w:rPr>
          <w:sz w:val="28"/>
          <w:szCs w:val="28"/>
        </w:rPr>
      </w:pPr>
      <w:r>
        <w:rPr>
          <w:sz w:val="28"/>
          <w:szCs w:val="28"/>
        </w:rPr>
        <w:t>IFC</w:t>
      </w:r>
      <w:r>
        <w:rPr>
          <w:sz w:val="28"/>
          <w:szCs w:val="28"/>
        </w:rPr>
        <w:tab/>
      </w:r>
      <w:r>
        <w:rPr>
          <w:sz w:val="28"/>
          <w:szCs w:val="28"/>
        </w:rPr>
        <w:t>International Finance Corporation</w:t>
      </w:r>
      <w:r w:rsidR="00263FF0">
        <w:rPr>
          <w:sz w:val="28"/>
          <w:szCs w:val="28"/>
        </w:rPr>
        <w:t xml:space="preserve"> of the World Bank Group</w:t>
      </w:r>
    </w:p>
    <w:p w:rsidR="00B123FA" w:rsidP="00B123FA" w:rsidRDefault="00B123FA" w14:paraId="12236F81" w14:textId="74796F7E">
      <w:pPr>
        <w:tabs>
          <w:tab w:val="left" w:pos="2268"/>
        </w:tabs>
        <w:spacing w:line="276" w:lineRule="auto"/>
        <w:rPr>
          <w:sz w:val="28"/>
          <w:szCs w:val="28"/>
        </w:rPr>
      </w:pPr>
      <w:r>
        <w:rPr>
          <w:sz w:val="28"/>
          <w:szCs w:val="28"/>
        </w:rPr>
        <w:t>IIM</w:t>
      </w:r>
      <w:r>
        <w:rPr>
          <w:sz w:val="28"/>
          <w:szCs w:val="28"/>
        </w:rPr>
        <w:tab/>
      </w:r>
      <w:r>
        <w:rPr>
          <w:sz w:val="28"/>
          <w:szCs w:val="28"/>
        </w:rPr>
        <w:t>Independent Investigation Mechanism</w:t>
      </w:r>
    </w:p>
    <w:p w:rsidR="00B123FA" w:rsidP="00B123FA" w:rsidRDefault="00B123FA" w14:paraId="3F460F14" w14:textId="410994AF">
      <w:pPr>
        <w:tabs>
          <w:tab w:val="left" w:pos="2268"/>
        </w:tabs>
        <w:spacing w:line="276" w:lineRule="auto"/>
        <w:rPr>
          <w:sz w:val="28"/>
          <w:szCs w:val="28"/>
        </w:rPr>
      </w:pPr>
      <w:r>
        <w:rPr>
          <w:sz w:val="28"/>
          <w:szCs w:val="28"/>
        </w:rPr>
        <w:t>IP</w:t>
      </w:r>
      <w:r>
        <w:rPr>
          <w:sz w:val="28"/>
          <w:szCs w:val="28"/>
        </w:rPr>
        <w:tab/>
      </w:r>
      <w:r>
        <w:rPr>
          <w:sz w:val="28"/>
          <w:szCs w:val="28"/>
        </w:rPr>
        <w:t>Inspection Panel</w:t>
      </w:r>
    </w:p>
    <w:p w:rsidR="008177BC" w:rsidP="00B123FA" w:rsidRDefault="008177BC" w14:paraId="2799D684" w14:textId="155DF71D">
      <w:pPr>
        <w:tabs>
          <w:tab w:val="left" w:pos="2268"/>
        </w:tabs>
        <w:spacing w:line="276" w:lineRule="auto"/>
        <w:rPr>
          <w:sz w:val="28"/>
          <w:szCs w:val="28"/>
        </w:rPr>
      </w:pPr>
      <w:r w:rsidRPr="00317992">
        <w:rPr>
          <w:sz w:val="28"/>
          <w:szCs w:val="28"/>
        </w:rPr>
        <w:t>IPAM</w:t>
      </w:r>
      <w:r w:rsidRPr="00317992" w:rsidR="001202C9">
        <w:rPr>
          <w:sz w:val="28"/>
          <w:szCs w:val="28"/>
        </w:rPr>
        <w:tab/>
      </w:r>
      <w:r w:rsidRPr="00317992" w:rsidR="001202C9">
        <w:rPr>
          <w:sz w:val="28"/>
          <w:szCs w:val="28"/>
        </w:rPr>
        <w:t>Independent Project Accountability Mechanism</w:t>
      </w:r>
      <w:r w:rsidR="001202C9">
        <w:rPr>
          <w:sz w:val="28"/>
          <w:szCs w:val="28"/>
        </w:rPr>
        <w:t xml:space="preserve"> </w:t>
      </w:r>
    </w:p>
    <w:p w:rsidRPr="00CB0BEC" w:rsidR="00B123FA" w:rsidP="00B123FA" w:rsidRDefault="00B123FA" w14:paraId="69421667" w14:textId="202CDF90">
      <w:pPr>
        <w:tabs>
          <w:tab w:val="left" w:pos="2268"/>
        </w:tabs>
        <w:spacing w:line="276" w:lineRule="auto"/>
        <w:rPr>
          <w:sz w:val="28"/>
          <w:szCs w:val="28"/>
        </w:rPr>
      </w:pPr>
      <w:r w:rsidRPr="00CB0BEC">
        <w:rPr>
          <w:sz w:val="28"/>
          <w:szCs w:val="28"/>
        </w:rPr>
        <w:t>IRM</w:t>
      </w:r>
      <w:r w:rsidRPr="00CB0BEC" w:rsidR="00AE52CC">
        <w:rPr>
          <w:sz w:val="28"/>
          <w:szCs w:val="28"/>
        </w:rPr>
        <w:t xml:space="preserve"> (EBRD)</w:t>
      </w:r>
      <w:r w:rsidRPr="00CB0BEC">
        <w:rPr>
          <w:sz w:val="28"/>
          <w:szCs w:val="28"/>
        </w:rPr>
        <w:tab/>
      </w:r>
      <w:r w:rsidRPr="00CB0BEC">
        <w:rPr>
          <w:sz w:val="28"/>
          <w:szCs w:val="28"/>
        </w:rPr>
        <w:t>Independent Recourse Mechanism</w:t>
      </w:r>
    </w:p>
    <w:p w:rsidR="00B123FA" w:rsidP="00B123FA" w:rsidRDefault="00B123FA" w14:paraId="3C7822CA" w14:textId="7489617D">
      <w:pPr>
        <w:tabs>
          <w:tab w:val="left" w:pos="2268"/>
        </w:tabs>
        <w:spacing w:line="276" w:lineRule="auto"/>
        <w:rPr>
          <w:sz w:val="28"/>
          <w:szCs w:val="28"/>
        </w:rPr>
      </w:pPr>
      <w:r w:rsidRPr="00CB0BEC">
        <w:rPr>
          <w:sz w:val="28"/>
          <w:szCs w:val="28"/>
        </w:rPr>
        <w:t>IRM</w:t>
      </w:r>
      <w:r w:rsidRPr="00CB0BEC" w:rsidR="00AE52CC">
        <w:rPr>
          <w:sz w:val="28"/>
          <w:szCs w:val="28"/>
        </w:rPr>
        <w:t xml:space="preserve"> (AfDB)</w:t>
      </w:r>
      <w:r w:rsidRPr="00CB0BEC">
        <w:rPr>
          <w:sz w:val="28"/>
          <w:szCs w:val="28"/>
        </w:rPr>
        <w:tab/>
      </w:r>
      <w:r w:rsidRPr="00CB0BEC">
        <w:rPr>
          <w:sz w:val="28"/>
          <w:szCs w:val="28"/>
        </w:rPr>
        <w:t>Independent Review Mechanism</w:t>
      </w:r>
    </w:p>
    <w:p w:rsidR="001C494E" w:rsidP="00B123FA" w:rsidRDefault="001C494E" w14:paraId="0710CDF5" w14:textId="2AB9D7CB">
      <w:pPr>
        <w:tabs>
          <w:tab w:val="left" w:pos="2268"/>
        </w:tabs>
        <w:spacing w:line="276" w:lineRule="auto"/>
        <w:rPr>
          <w:sz w:val="28"/>
          <w:szCs w:val="28"/>
        </w:rPr>
      </w:pPr>
      <w:r>
        <w:rPr>
          <w:sz w:val="28"/>
          <w:szCs w:val="28"/>
        </w:rPr>
        <w:t>MDB</w:t>
      </w:r>
      <w:r>
        <w:rPr>
          <w:sz w:val="28"/>
          <w:szCs w:val="28"/>
        </w:rPr>
        <w:tab/>
      </w:r>
      <w:r>
        <w:rPr>
          <w:sz w:val="28"/>
          <w:szCs w:val="28"/>
        </w:rPr>
        <w:t>Multilateral Development Bank</w:t>
      </w:r>
    </w:p>
    <w:p w:rsidR="00B123FA" w:rsidP="00263FF0" w:rsidRDefault="00B123FA" w14:paraId="2ED379BF" w14:textId="6DFC3FC7">
      <w:pPr>
        <w:tabs>
          <w:tab w:val="left" w:pos="2268"/>
        </w:tabs>
        <w:spacing w:line="276" w:lineRule="auto"/>
        <w:ind w:left="2268" w:hanging="2268"/>
        <w:rPr>
          <w:sz w:val="28"/>
          <w:szCs w:val="28"/>
        </w:rPr>
      </w:pPr>
      <w:r>
        <w:rPr>
          <w:sz w:val="28"/>
          <w:szCs w:val="28"/>
        </w:rPr>
        <w:t>MICI</w:t>
      </w:r>
      <w:r>
        <w:rPr>
          <w:sz w:val="28"/>
          <w:szCs w:val="28"/>
        </w:rPr>
        <w:tab/>
      </w:r>
      <w:r w:rsidRPr="00B123FA">
        <w:rPr>
          <w:sz w:val="28"/>
          <w:szCs w:val="28"/>
        </w:rPr>
        <w:t>Independent Consultation and Investigation Mechanism</w:t>
      </w:r>
      <w:r w:rsidR="00263FF0">
        <w:rPr>
          <w:sz w:val="28"/>
          <w:szCs w:val="28"/>
        </w:rPr>
        <w:t xml:space="preserve"> (ICIM/MICI in Spanish)</w:t>
      </w:r>
    </w:p>
    <w:p w:rsidR="00263FF0" w:rsidP="00263FF0" w:rsidRDefault="00263FF0" w14:paraId="5D2877FE" w14:textId="35B109D5">
      <w:pPr>
        <w:tabs>
          <w:tab w:val="left" w:pos="2268"/>
        </w:tabs>
        <w:spacing w:line="276" w:lineRule="auto"/>
        <w:ind w:left="2268" w:hanging="2268"/>
        <w:rPr>
          <w:sz w:val="28"/>
          <w:szCs w:val="28"/>
        </w:rPr>
      </w:pPr>
      <w:r w:rsidRPr="00A54C2C">
        <w:rPr>
          <w:sz w:val="28"/>
          <w:szCs w:val="28"/>
        </w:rPr>
        <w:t>MIGA</w:t>
      </w:r>
      <w:r w:rsidRPr="00A54C2C">
        <w:rPr>
          <w:sz w:val="28"/>
          <w:szCs w:val="28"/>
        </w:rPr>
        <w:tab/>
      </w:r>
      <w:r w:rsidRPr="00A54C2C">
        <w:rPr>
          <w:sz w:val="28"/>
          <w:szCs w:val="28"/>
        </w:rPr>
        <w:t>Multilateral Investment Guarantee Agency of the World Bank Group</w:t>
      </w:r>
    </w:p>
    <w:p w:rsidRPr="00A54C2C" w:rsidR="00191F33" w:rsidP="00263FF0" w:rsidRDefault="00191F33" w14:paraId="7F74D82C" w14:textId="580DA266">
      <w:pPr>
        <w:tabs>
          <w:tab w:val="left" w:pos="2268"/>
        </w:tabs>
        <w:spacing w:line="276" w:lineRule="auto"/>
        <w:ind w:left="2268" w:hanging="2268"/>
        <w:rPr>
          <w:sz w:val="28"/>
          <w:szCs w:val="28"/>
        </w:rPr>
      </w:pPr>
      <w:r w:rsidRPr="00A54C2C">
        <w:rPr>
          <w:sz w:val="28"/>
          <w:szCs w:val="28"/>
        </w:rPr>
        <w:t>OD</w:t>
      </w:r>
      <w:r w:rsidRPr="00A54C2C" w:rsidR="006C0782">
        <w:rPr>
          <w:sz w:val="28"/>
          <w:szCs w:val="28"/>
        </w:rPr>
        <w:tab/>
      </w:r>
      <w:r w:rsidRPr="00A54C2C" w:rsidR="006C0782">
        <w:rPr>
          <w:sz w:val="28"/>
          <w:szCs w:val="28"/>
        </w:rPr>
        <w:t>Operational Directive</w:t>
      </w:r>
    </w:p>
    <w:p w:rsidR="007B4EC1" w:rsidP="00263FF0" w:rsidRDefault="007B4EC1" w14:paraId="2623C115" w14:textId="44B31AD2">
      <w:pPr>
        <w:tabs>
          <w:tab w:val="left" w:pos="2268"/>
        </w:tabs>
        <w:spacing w:line="276" w:lineRule="auto"/>
        <w:ind w:left="2268" w:hanging="2268"/>
        <w:rPr>
          <w:sz w:val="28"/>
          <w:szCs w:val="28"/>
        </w:rPr>
      </w:pPr>
      <w:r w:rsidRPr="00A54C2C">
        <w:rPr>
          <w:sz w:val="28"/>
          <w:szCs w:val="28"/>
        </w:rPr>
        <w:t>OM</w:t>
      </w:r>
      <w:r w:rsidRPr="007B4EC1">
        <w:rPr>
          <w:sz w:val="28"/>
          <w:szCs w:val="28"/>
        </w:rPr>
        <w:tab/>
      </w:r>
      <w:r w:rsidRPr="007B4EC1">
        <w:rPr>
          <w:sz w:val="28"/>
          <w:szCs w:val="28"/>
        </w:rPr>
        <w:t>Operations Manual</w:t>
      </w:r>
    </w:p>
    <w:p w:rsidR="00191F33" w:rsidP="00263FF0" w:rsidRDefault="00191F33" w14:paraId="042BA946" w14:textId="705AE6A2">
      <w:pPr>
        <w:tabs>
          <w:tab w:val="left" w:pos="2268"/>
        </w:tabs>
        <w:spacing w:line="276" w:lineRule="auto"/>
        <w:ind w:left="2268" w:hanging="2268"/>
        <w:rPr>
          <w:sz w:val="28"/>
          <w:szCs w:val="28"/>
        </w:rPr>
      </w:pPr>
      <w:r w:rsidRPr="00A54C2C">
        <w:rPr>
          <w:sz w:val="28"/>
          <w:szCs w:val="28"/>
        </w:rPr>
        <w:t>OMS</w:t>
      </w:r>
      <w:r w:rsidR="006C0782">
        <w:rPr>
          <w:sz w:val="28"/>
          <w:szCs w:val="28"/>
        </w:rPr>
        <w:tab/>
      </w:r>
      <w:r w:rsidR="006C0782">
        <w:rPr>
          <w:sz w:val="28"/>
          <w:szCs w:val="28"/>
        </w:rPr>
        <w:t>Operational Manual Statement</w:t>
      </w:r>
    </w:p>
    <w:p w:rsidRPr="00B123FA" w:rsidR="00503AF8" w:rsidP="00263FF0" w:rsidRDefault="00503AF8" w14:paraId="15E4F72F" w14:textId="0BEB9607">
      <w:pPr>
        <w:tabs>
          <w:tab w:val="left" w:pos="2268"/>
        </w:tabs>
        <w:spacing w:line="276" w:lineRule="auto"/>
        <w:ind w:left="2268" w:hanging="2268"/>
        <w:rPr>
          <w:sz w:val="28"/>
          <w:szCs w:val="28"/>
        </w:rPr>
      </w:pPr>
      <w:r>
        <w:rPr>
          <w:sz w:val="28"/>
          <w:szCs w:val="28"/>
        </w:rPr>
        <w:t>OP</w:t>
      </w:r>
      <w:r>
        <w:rPr>
          <w:sz w:val="28"/>
          <w:szCs w:val="28"/>
        </w:rPr>
        <w:tab/>
      </w:r>
      <w:r>
        <w:rPr>
          <w:sz w:val="28"/>
          <w:szCs w:val="28"/>
        </w:rPr>
        <w:t>Operational Policy</w:t>
      </w:r>
    </w:p>
    <w:p w:rsidR="00B123FA" w:rsidP="00B123FA" w:rsidRDefault="00B123FA" w14:paraId="3C349CCA" w14:textId="496FBD6F">
      <w:pPr>
        <w:tabs>
          <w:tab w:val="left" w:pos="2268"/>
        </w:tabs>
        <w:spacing w:line="276" w:lineRule="auto"/>
        <w:rPr>
          <w:sz w:val="28"/>
          <w:szCs w:val="28"/>
        </w:rPr>
      </w:pPr>
      <w:r>
        <w:rPr>
          <w:sz w:val="28"/>
          <w:szCs w:val="28"/>
        </w:rPr>
        <w:t>OSPF</w:t>
      </w:r>
      <w:r>
        <w:rPr>
          <w:sz w:val="28"/>
          <w:szCs w:val="28"/>
        </w:rPr>
        <w:tab/>
      </w:r>
      <w:r>
        <w:rPr>
          <w:sz w:val="28"/>
          <w:szCs w:val="28"/>
        </w:rPr>
        <w:t>Office of the Special Project Facilitator</w:t>
      </w:r>
    </w:p>
    <w:p w:rsidR="007B4EC1" w:rsidP="00B123FA" w:rsidRDefault="007B4EC1" w14:paraId="1DF56580" w14:textId="6A43A57B">
      <w:pPr>
        <w:tabs>
          <w:tab w:val="left" w:pos="2268"/>
        </w:tabs>
        <w:spacing w:line="276" w:lineRule="auto"/>
        <w:rPr>
          <w:sz w:val="28"/>
          <w:szCs w:val="28"/>
        </w:rPr>
      </w:pPr>
      <w:r w:rsidRPr="00A54C2C">
        <w:rPr>
          <w:sz w:val="28"/>
          <w:szCs w:val="28"/>
        </w:rPr>
        <w:t>PAI</w:t>
      </w:r>
      <w:r>
        <w:rPr>
          <w:sz w:val="28"/>
          <w:szCs w:val="28"/>
        </w:rPr>
        <w:tab/>
      </w:r>
      <w:r>
        <w:rPr>
          <w:sz w:val="28"/>
          <w:szCs w:val="28"/>
        </w:rPr>
        <w:t>Project Administration Instructions</w:t>
      </w:r>
    </w:p>
    <w:p w:rsidR="00B123FA" w:rsidP="00B123FA" w:rsidRDefault="00B123FA" w14:paraId="0356E975" w14:textId="3846E09B">
      <w:pPr>
        <w:tabs>
          <w:tab w:val="left" w:pos="2268"/>
        </w:tabs>
        <w:spacing w:line="276" w:lineRule="auto"/>
        <w:rPr>
          <w:sz w:val="28"/>
          <w:szCs w:val="28"/>
        </w:rPr>
      </w:pPr>
      <w:r>
        <w:rPr>
          <w:sz w:val="28"/>
          <w:szCs w:val="28"/>
        </w:rPr>
        <w:t>PCM</w:t>
      </w:r>
      <w:r>
        <w:rPr>
          <w:sz w:val="28"/>
          <w:szCs w:val="28"/>
        </w:rPr>
        <w:tab/>
      </w:r>
      <w:r>
        <w:rPr>
          <w:sz w:val="28"/>
          <w:szCs w:val="28"/>
        </w:rPr>
        <w:t>Project Complaint Mechanism</w:t>
      </w:r>
    </w:p>
    <w:p w:rsidR="005668AA" w:rsidP="00B123FA" w:rsidRDefault="00263FF0" w14:paraId="7407016D" w14:textId="118B0CE7">
      <w:pPr>
        <w:tabs>
          <w:tab w:val="left" w:pos="2268"/>
        </w:tabs>
        <w:spacing w:line="276" w:lineRule="auto"/>
        <w:rPr>
          <w:sz w:val="28"/>
          <w:szCs w:val="28"/>
        </w:rPr>
      </w:pPr>
      <w:r>
        <w:rPr>
          <w:sz w:val="28"/>
          <w:szCs w:val="28"/>
        </w:rPr>
        <w:t>PPAH</w:t>
      </w:r>
      <w:r>
        <w:rPr>
          <w:sz w:val="28"/>
          <w:szCs w:val="28"/>
        </w:rPr>
        <w:tab/>
      </w:r>
      <w:r w:rsidR="005668AA">
        <w:rPr>
          <w:sz w:val="28"/>
          <w:szCs w:val="28"/>
        </w:rPr>
        <w:t>Pollution Prevention and Abatement Handbook</w:t>
      </w:r>
    </w:p>
    <w:p w:rsidR="00503AF8" w:rsidP="00B123FA" w:rsidRDefault="00503AF8" w14:paraId="73878BE2" w14:textId="320E53A4">
      <w:pPr>
        <w:tabs>
          <w:tab w:val="left" w:pos="2268"/>
        </w:tabs>
        <w:spacing w:line="276" w:lineRule="auto"/>
        <w:rPr>
          <w:sz w:val="28"/>
          <w:szCs w:val="28"/>
        </w:rPr>
      </w:pPr>
      <w:r>
        <w:rPr>
          <w:sz w:val="28"/>
          <w:szCs w:val="28"/>
        </w:rPr>
        <w:t>PR</w:t>
      </w:r>
      <w:r>
        <w:rPr>
          <w:sz w:val="28"/>
          <w:szCs w:val="28"/>
        </w:rPr>
        <w:tab/>
      </w:r>
      <w:r>
        <w:rPr>
          <w:sz w:val="28"/>
          <w:szCs w:val="28"/>
        </w:rPr>
        <w:t>Performance Requirement</w:t>
      </w:r>
    </w:p>
    <w:p w:rsidR="00A14587" w:rsidP="00B123FA" w:rsidRDefault="00A14587" w14:paraId="1D60423E" w14:textId="10DA135A">
      <w:pPr>
        <w:tabs>
          <w:tab w:val="left" w:pos="2268"/>
        </w:tabs>
        <w:spacing w:line="276" w:lineRule="auto"/>
        <w:rPr>
          <w:sz w:val="28"/>
          <w:szCs w:val="28"/>
        </w:rPr>
      </w:pPr>
      <w:r>
        <w:rPr>
          <w:sz w:val="28"/>
          <w:szCs w:val="28"/>
        </w:rPr>
        <w:t>PS</w:t>
      </w:r>
      <w:r>
        <w:rPr>
          <w:sz w:val="28"/>
          <w:szCs w:val="28"/>
        </w:rPr>
        <w:tab/>
      </w:r>
      <w:r>
        <w:rPr>
          <w:sz w:val="28"/>
          <w:szCs w:val="28"/>
        </w:rPr>
        <w:t>Performance Standard</w:t>
      </w:r>
    </w:p>
    <w:p w:rsidR="00B123FA" w:rsidP="00503AF8" w:rsidRDefault="00503AF8" w14:paraId="71CD9EEE" w14:textId="4BBC67BF">
      <w:pPr>
        <w:tabs>
          <w:tab w:val="left" w:pos="2268"/>
        </w:tabs>
        <w:spacing w:line="276" w:lineRule="auto"/>
        <w:ind w:left="2268" w:hanging="2268"/>
        <w:rPr>
          <w:sz w:val="28"/>
          <w:szCs w:val="28"/>
        </w:rPr>
      </w:pPr>
      <w:r>
        <w:rPr>
          <w:sz w:val="28"/>
          <w:szCs w:val="28"/>
        </w:rPr>
        <w:t>WB</w:t>
      </w:r>
      <w:r>
        <w:rPr>
          <w:sz w:val="28"/>
          <w:szCs w:val="28"/>
        </w:rPr>
        <w:tab/>
      </w:r>
      <w:r w:rsidR="00B123FA">
        <w:rPr>
          <w:sz w:val="28"/>
          <w:szCs w:val="28"/>
        </w:rPr>
        <w:t>World Bank</w:t>
      </w:r>
      <w:r w:rsidR="00263FF0">
        <w:rPr>
          <w:sz w:val="28"/>
          <w:szCs w:val="28"/>
        </w:rPr>
        <w:t xml:space="preserve"> (International Bank for Reconstruction and Development/International Development Association)</w:t>
      </w:r>
    </w:p>
    <w:p w:rsidRPr="00191F33" w:rsidR="00D30F3F" w:rsidP="00191F33" w:rsidRDefault="00263FF0" w14:paraId="37C3B105" w14:textId="54A4F977">
      <w:pPr>
        <w:tabs>
          <w:tab w:val="left" w:pos="2268"/>
        </w:tabs>
        <w:spacing w:line="276" w:lineRule="auto"/>
        <w:ind w:left="2268" w:hanging="2268"/>
        <w:rPr>
          <w:sz w:val="28"/>
          <w:szCs w:val="28"/>
        </w:rPr>
      </w:pPr>
      <w:r>
        <w:rPr>
          <w:sz w:val="28"/>
          <w:szCs w:val="28"/>
        </w:rPr>
        <w:lastRenderedPageBreak/>
        <w:t>WBG</w:t>
      </w:r>
      <w:r>
        <w:rPr>
          <w:sz w:val="28"/>
          <w:szCs w:val="28"/>
        </w:rPr>
        <w:tab/>
      </w:r>
      <w:r>
        <w:rPr>
          <w:sz w:val="28"/>
          <w:szCs w:val="28"/>
        </w:rPr>
        <w:t>World Bank Group (comprised of the IFC and MIGA)</w:t>
      </w:r>
    </w:p>
    <w:p w:rsidRPr="00D30F3F" w:rsidR="00E40B2D" w:rsidP="00D30F3F" w:rsidRDefault="00E40B2D" w14:paraId="2449A261" w14:textId="48BEE8CF">
      <w:pPr>
        <w:tabs>
          <w:tab w:val="left" w:pos="4536"/>
        </w:tabs>
        <w:spacing w:line="276" w:lineRule="auto"/>
        <w:rPr>
          <w:sz w:val="28"/>
          <w:szCs w:val="28"/>
          <w:u w:val="single"/>
        </w:rPr>
        <w:sectPr w:rsidRPr="00D30F3F" w:rsidR="00E40B2D" w:rsidSect="006204D0">
          <w:pgSz w:w="11900" w:h="16840" w:orient="portrait"/>
          <w:pgMar w:top="1440" w:right="1418" w:bottom="1440" w:left="1418" w:header="708" w:footer="708" w:gutter="0"/>
          <w:pgNumType w:start="1"/>
          <w:cols w:space="708"/>
          <w:docGrid w:linePitch="360"/>
        </w:sectPr>
      </w:pPr>
    </w:p>
    <w:p w:rsidRPr="004C0219" w:rsidR="00C64617" w:rsidP="00C64617" w:rsidRDefault="00C64617" w14:paraId="656D94F4" w14:textId="1C5CE6F9">
      <w:pPr>
        <w:spacing w:line="276" w:lineRule="auto"/>
        <w:jc w:val="center"/>
        <w:rPr>
          <w:sz w:val="38"/>
          <w:szCs w:val="38"/>
          <w:u w:val="single"/>
        </w:rPr>
      </w:pPr>
      <w:r w:rsidRPr="004C0219">
        <w:rPr>
          <w:sz w:val="38"/>
          <w:szCs w:val="38"/>
          <w:u w:val="single"/>
        </w:rPr>
        <w:lastRenderedPageBreak/>
        <w:t xml:space="preserve">2. </w:t>
      </w:r>
      <w:r w:rsidRPr="004C0219" w:rsidR="00C063B1">
        <w:rPr>
          <w:sz w:val="38"/>
          <w:szCs w:val="38"/>
          <w:u w:val="single"/>
        </w:rPr>
        <w:t xml:space="preserve">General </w:t>
      </w:r>
      <w:r w:rsidRPr="004C0219">
        <w:rPr>
          <w:sz w:val="38"/>
          <w:szCs w:val="38"/>
          <w:u w:val="single"/>
        </w:rPr>
        <w:t>Information</w:t>
      </w:r>
    </w:p>
    <w:p w:rsidR="00A13EBA" w:rsidP="00C063B1" w:rsidRDefault="00C063B1" w14:paraId="3AAF71EE" w14:textId="546614BA">
      <w:pPr>
        <w:spacing w:line="276" w:lineRule="auto"/>
      </w:pPr>
      <w:r w:rsidR="00C063B1">
        <w:rPr/>
        <w:t xml:space="preserve">The </w:t>
      </w:r>
      <w:r w:rsidR="00A46A41">
        <w:rPr/>
        <w:t>dataset</w:t>
      </w:r>
      <w:r w:rsidR="00C063B1">
        <w:rPr/>
        <w:t xml:space="preserve"> represents a summary depiction of </w:t>
      </w:r>
      <w:r w:rsidR="00263FF0">
        <w:rPr/>
        <w:t xml:space="preserve">grievance </w:t>
      </w:r>
      <w:r w:rsidR="00A46A41">
        <w:rPr/>
        <w:t>cases</w:t>
      </w:r>
      <w:r w:rsidR="00C063B1">
        <w:rPr/>
        <w:t xml:space="preserve"> brought to the </w:t>
      </w:r>
      <w:r w:rsidR="00667779">
        <w:rPr/>
        <w:t>Accountability</w:t>
      </w:r>
      <w:r w:rsidR="00C063B1">
        <w:rPr/>
        <w:t xml:space="preserve"> Mechanism</w:t>
      </w:r>
      <w:r w:rsidR="00667779">
        <w:rPr/>
        <w:t>s</w:t>
      </w:r>
      <w:r w:rsidR="00C063B1">
        <w:rPr/>
        <w:t xml:space="preserve"> </w:t>
      </w:r>
      <w:r w:rsidR="00667779">
        <w:rPr/>
        <w:t xml:space="preserve">(AMs) </w:t>
      </w:r>
      <w:r w:rsidR="00C063B1">
        <w:rPr/>
        <w:t>of the six Multilateral Development Banks</w:t>
      </w:r>
      <w:r w:rsidR="00667779">
        <w:rPr/>
        <w:t xml:space="preserve"> (MDBs)</w:t>
      </w:r>
      <w:r w:rsidR="00263FF0">
        <w:rPr/>
        <w:t xml:space="preserve"> from 1994 to </w:t>
      </w:r>
      <w:r w:rsidR="00263FF0">
        <w:rPr/>
        <w:t>20</w:t>
      </w:r>
      <w:r w:rsidR="0007396A">
        <w:rPr/>
        <w:t>2</w:t>
      </w:r>
      <w:r w:rsidR="2683C9B3">
        <w:rPr/>
        <w:t>2</w:t>
      </w:r>
      <w:r w:rsidR="00263FF0">
        <w:rPr/>
        <w:t>: The Asian Development Bank, the African Development Bank, the Inter-American Development Bank, the European Bank for Reconstruction and Development, the World Bank (IBRD/IDA) and the World Bank Group (IFC and MIGA)</w:t>
      </w:r>
      <w:r w:rsidR="00C063B1">
        <w:rPr/>
        <w:t xml:space="preserve">. </w:t>
      </w:r>
      <w:r w:rsidR="00A13EBA">
        <w:rPr/>
        <w:t>These Accountability Mechanisms were created to enable people adversely or potentially adversely affected by a project or program financed by the MDBs to take their concerns to the Banks for recourse. The Accountability Mechanisms generally do not stop the project or provide material reparations. They seek to stop or prevent harm and mitigate the negative aspects of a development project.</w:t>
      </w:r>
    </w:p>
    <w:p w:rsidR="00A13EBA" w:rsidP="00C063B1" w:rsidRDefault="00A13EBA" w14:paraId="18A546D6" w14:textId="77777777">
      <w:pPr>
        <w:spacing w:line="276" w:lineRule="auto"/>
      </w:pPr>
    </w:p>
    <w:p w:rsidR="00667779" w:rsidP="00C063B1" w:rsidRDefault="00667779" w14:paraId="6F978756" w14:textId="433AA916">
      <w:pPr>
        <w:spacing w:line="276" w:lineRule="auto"/>
      </w:pPr>
      <w:r>
        <w:t>The objective</w:t>
      </w:r>
      <w:r w:rsidR="00A13EBA">
        <w:t xml:space="preserve"> of the database</w:t>
      </w:r>
      <w:r>
        <w:t xml:space="preserve"> is to be able to </w:t>
      </w:r>
      <w:r w:rsidR="00A46A41">
        <w:t xml:space="preserve">garner a quick qualitative snapshot of any given case, as well as to be able to aggregate quantitative data </w:t>
      </w:r>
      <w:r w:rsidR="00522855">
        <w:t>for</w:t>
      </w:r>
      <w:r w:rsidR="00A46A41">
        <w:t xml:space="preserve"> each AM as a whole and</w:t>
      </w:r>
      <w:r w:rsidR="00263FF0">
        <w:t xml:space="preserve"> to</w:t>
      </w:r>
      <w:r w:rsidR="00A46A41">
        <w:t xml:space="preserve"> identify trends over time.</w:t>
      </w:r>
      <w:r w:rsidR="00A13EBA">
        <w:t xml:space="preserve"> Each of the grievance mechanisms has a specific name, which may have changed over time. It may also be comprised of more than one office with </w:t>
      </w:r>
      <w:r w:rsidR="00E85AE7">
        <w:t>separate functions (</w:t>
      </w:r>
      <w:proofErr w:type="gramStart"/>
      <w:r w:rsidR="00E85AE7">
        <w:t>i</w:t>
      </w:r>
      <w:r w:rsidR="00522855">
        <w:t>.</w:t>
      </w:r>
      <w:r w:rsidR="00E85AE7">
        <w:t>e</w:t>
      </w:r>
      <w:r w:rsidR="00522855">
        <w:t>.</w:t>
      </w:r>
      <w:proofErr w:type="gramEnd"/>
      <w:r w:rsidR="00E85AE7">
        <w:t xml:space="preserve"> consulting</w:t>
      </w:r>
      <w:r w:rsidR="00A13EBA">
        <w:t xml:space="preserve"> with affected people versus a compliance investigation). </w:t>
      </w:r>
      <w:r w:rsidR="00A6061A">
        <w:t>Most of the Accountability Mechanisms now have separate f</w:t>
      </w:r>
      <w:r w:rsidR="00E85AE7">
        <w:t>unctions, with the consultation</w:t>
      </w:r>
      <w:r w:rsidR="00A6061A">
        <w:t xml:space="preserve"> process </w:t>
      </w:r>
      <w:r w:rsidR="00E85AE7">
        <w:t xml:space="preserve">also </w:t>
      </w:r>
      <w:r w:rsidR="00A6061A">
        <w:t xml:space="preserve">called problem </w:t>
      </w:r>
      <w:r w:rsidR="00522855">
        <w:t>solving. The compliance phase is</w:t>
      </w:r>
      <w:r w:rsidR="00A6061A">
        <w:t xml:space="preserve"> to investigate whether the MDBs have complied with their environmental and social policies and whether this has led to harm. The Accountability Mechanisms</w:t>
      </w:r>
      <w:r w:rsidR="00A13EBA">
        <w:t xml:space="preserve"> are detailed below.</w:t>
      </w:r>
    </w:p>
    <w:p w:rsidR="00574488" w:rsidP="00C063B1" w:rsidRDefault="00574488" w14:paraId="7A34CAE9" w14:textId="77777777">
      <w:pPr>
        <w:spacing w:line="276" w:lineRule="auto"/>
      </w:pPr>
    </w:p>
    <w:p w:rsidR="00574488" w:rsidP="00C063B1" w:rsidRDefault="00574488" w14:paraId="565940A2" w14:textId="06E43A2A">
      <w:pPr>
        <w:spacing w:line="276" w:lineRule="auto"/>
      </w:pPr>
      <w:r w:rsidR="00574488">
        <w:rPr/>
        <w:t xml:space="preserve">The dataset includes cases </w:t>
      </w:r>
      <w:r w:rsidR="00CB0BEC">
        <w:rPr/>
        <w:t xml:space="preserve">received by the AMs </w:t>
      </w:r>
      <w:r w:rsidR="00574488">
        <w:rPr/>
        <w:t xml:space="preserve">from the beginning of each mechanism until </w:t>
      </w:r>
      <w:r w:rsidR="79DA0630">
        <w:rPr/>
        <w:t>19 December 202</w:t>
      </w:r>
      <w:r w:rsidR="27F6385B">
        <w:rPr/>
        <w:t>2</w:t>
      </w:r>
      <w:r w:rsidR="00574488">
        <w:rPr/>
        <w:t>. The last update for cases is</w:t>
      </w:r>
      <w:r w:rsidR="00347B9A">
        <w:rPr/>
        <w:t xml:space="preserve"> </w:t>
      </w:r>
      <w:r w:rsidR="3D12A4FF">
        <w:rPr/>
        <w:t>19 December 2022</w:t>
      </w:r>
      <w:r w:rsidR="00574488">
        <w:rPr/>
        <w:t>.</w:t>
      </w:r>
    </w:p>
    <w:p w:rsidR="00C64617" w:rsidP="00C063B1" w:rsidRDefault="00C64617" w14:paraId="489A4528" w14:textId="77777777">
      <w:pPr>
        <w:spacing w:line="276" w:lineRule="auto"/>
      </w:pPr>
    </w:p>
    <w:p w:rsidRPr="00C64617" w:rsidR="00667779" w:rsidP="00C063B1" w:rsidRDefault="00C64617" w14:paraId="5D8DFCDD" w14:textId="615BDDE8">
      <w:pPr>
        <w:spacing w:line="276" w:lineRule="auto"/>
        <w:rPr>
          <w:b/>
          <w:i/>
        </w:rPr>
      </w:pPr>
      <w:r w:rsidRPr="00C64617">
        <w:rPr>
          <w:b/>
          <w:i/>
        </w:rPr>
        <w:t>2.1. The Banks and their Mechanisms</w:t>
      </w:r>
    </w:p>
    <w:p w:rsidR="00574488" w:rsidP="00C063B1" w:rsidRDefault="008E496F" w14:paraId="1358392D" w14:textId="5B289A24">
      <w:pPr>
        <w:spacing w:line="276" w:lineRule="auto"/>
      </w:pPr>
      <w:r>
        <w:t>Ea</w:t>
      </w:r>
      <w:r w:rsidR="00BA7100">
        <w:t xml:space="preserve">ch bank and its mechanism(s) </w:t>
      </w:r>
      <w:r w:rsidR="000305F2">
        <w:t>are</w:t>
      </w:r>
      <w:r w:rsidR="00C063B1">
        <w:t xml:space="preserve"> depicted on a separate tab of the spreadsheet</w:t>
      </w:r>
      <w:r w:rsidR="00A13EBA">
        <w:t>. Mechanisms denoted as historic may have less data available</w:t>
      </w:r>
      <w:r w:rsidR="00C063B1">
        <w:t>:</w:t>
      </w:r>
    </w:p>
    <w:p w:rsidRPr="008E496F" w:rsidR="00CE48CB" w:rsidP="00CE48CB" w:rsidRDefault="00CE48CB" w14:paraId="760E47A1" w14:textId="704BD32D">
      <w:pPr>
        <w:pStyle w:val="ListParagraph"/>
        <w:numPr>
          <w:ilvl w:val="0"/>
          <w:numId w:val="3"/>
        </w:numPr>
        <w:spacing w:line="276" w:lineRule="auto"/>
        <w:rPr>
          <w:u w:val="single"/>
        </w:rPr>
      </w:pPr>
      <w:r>
        <w:rPr>
          <w:u w:val="single"/>
        </w:rPr>
        <w:t>African Development Bank (Af</w:t>
      </w:r>
      <w:r w:rsidRPr="008E496F">
        <w:rPr>
          <w:u w:val="single"/>
        </w:rPr>
        <w:t>DB)</w:t>
      </w:r>
    </w:p>
    <w:p w:rsidRPr="00A6061A" w:rsidR="00574488" w:rsidP="00DF269F" w:rsidRDefault="00CE48CB" w14:paraId="7F049E0B" w14:textId="05C5E3B2">
      <w:pPr>
        <w:pStyle w:val="ListParagraph"/>
        <w:spacing w:line="276" w:lineRule="auto"/>
      </w:pPr>
      <w:r w:rsidRPr="00574488">
        <w:t>Independent Review Mechanism (IRM</w:t>
      </w:r>
      <w:r w:rsidR="002C13AC">
        <w:t xml:space="preserve"> (AfDB)</w:t>
      </w:r>
      <w:r w:rsidRPr="00574488">
        <w:t>)</w:t>
      </w:r>
      <w:r w:rsidR="00DF269F">
        <w:rPr>
          <w:i/>
        </w:rPr>
        <w:t xml:space="preserve"> </w:t>
      </w:r>
      <w:r w:rsidR="00A6061A">
        <w:t>– this mechanism undertakes problem-solving and compliance investigations</w:t>
      </w:r>
    </w:p>
    <w:p w:rsidRPr="00DF269F" w:rsidR="00D41815" w:rsidP="00DF269F" w:rsidRDefault="00DF269F" w14:paraId="562D6147" w14:textId="6F2FFD83">
      <w:pPr>
        <w:pStyle w:val="ListParagraph"/>
        <w:spacing w:line="276" w:lineRule="auto"/>
        <w:rPr>
          <w:i/>
        </w:rPr>
      </w:pPr>
      <w:r w:rsidRPr="00DF269F">
        <w:rPr>
          <w:i/>
        </w:rPr>
        <w:t>operational from 2007 – present</w:t>
      </w:r>
      <w:r w:rsidRPr="00DF269F" w:rsidR="00D41815">
        <w:rPr>
          <w:i/>
        </w:rPr>
        <w:tab/>
      </w:r>
    </w:p>
    <w:p w:rsidR="00CE48CB" w:rsidP="00CE48CB" w:rsidRDefault="00CE48CB" w14:paraId="2ADD26E6" w14:textId="77777777">
      <w:pPr>
        <w:pStyle w:val="ListParagraph"/>
        <w:spacing w:line="276" w:lineRule="auto"/>
        <w:rPr>
          <w:u w:val="single"/>
        </w:rPr>
      </w:pPr>
    </w:p>
    <w:p w:rsidRPr="008E496F" w:rsidR="008E496F" w:rsidP="008E496F" w:rsidRDefault="00C063B1" w14:paraId="193CB85E" w14:textId="27F16015">
      <w:pPr>
        <w:pStyle w:val="ListParagraph"/>
        <w:numPr>
          <w:ilvl w:val="0"/>
          <w:numId w:val="3"/>
        </w:numPr>
        <w:spacing w:line="276" w:lineRule="auto"/>
        <w:rPr>
          <w:u w:val="single"/>
        </w:rPr>
      </w:pPr>
      <w:r w:rsidRPr="008E496F">
        <w:rPr>
          <w:u w:val="single"/>
        </w:rPr>
        <w:t>Asian Development Bank</w:t>
      </w:r>
      <w:r w:rsidRPr="008E496F" w:rsidR="008E496F">
        <w:rPr>
          <w:u w:val="single"/>
        </w:rPr>
        <w:t xml:space="preserve"> (ADB)</w:t>
      </w:r>
      <w:r w:rsidR="00A46A41">
        <w:rPr>
          <w:u w:val="single"/>
        </w:rPr>
        <w:t xml:space="preserve"> </w:t>
      </w:r>
    </w:p>
    <w:p w:rsidRPr="00A6061A" w:rsidR="00574488" w:rsidP="00DF269F" w:rsidRDefault="008E496F" w14:paraId="214BEAF0" w14:textId="7CA0538B">
      <w:pPr>
        <w:pStyle w:val="ListParagraph"/>
        <w:spacing w:line="276" w:lineRule="auto"/>
      </w:pPr>
      <w:r w:rsidRPr="00574488">
        <w:t>Inspection Function – Historic (IF</w:t>
      </w:r>
      <w:r w:rsidRPr="00574488" w:rsidR="00A46A41">
        <w:t>)</w:t>
      </w:r>
      <w:r w:rsidR="00DF269F">
        <w:rPr>
          <w:i/>
        </w:rPr>
        <w:t xml:space="preserve"> </w:t>
      </w:r>
      <w:r w:rsidR="00A6061A">
        <w:t>– this mechanism only undertook compliance investigation</w:t>
      </w:r>
    </w:p>
    <w:p w:rsidRPr="00A6061A" w:rsidR="00DF269F" w:rsidP="00A6061A" w:rsidRDefault="00DF269F" w14:paraId="2DAFA242" w14:textId="7880C4A3">
      <w:pPr>
        <w:spacing w:line="276" w:lineRule="auto"/>
        <w:ind w:firstLine="720"/>
        <w:rPr>
          <w:i/>
        </w:rPr>
      </w:pPr>
      <w:r w:rsidRPr="00A6061A">
        <w:rPr>
          <w:i/>
        </w:rPr>
        <w:t>operational from 1998 – 2003</w:t>
      </w:r>
    </w:p>
    <w:p w:rsidR="00A6061A" w:rsidP="00574488" w:rsidRDefault="00A6061A" w14:paraId="4F52B7AD" w14:textId="77777777">
      <w:pPr>
        <w:pStyle w:val="ListParagraph"/>
        <w:spacing w:line="276" w:lineRule="auto"/>
      </w:pPr>
    </w:p>
    <w:p w:rsidR="00A6061A" w:rsidP="00574488" w:rsidRDefault="00A6061A" w14:paraId="2990555A" w14:textId="38548B3A">
      <w:pPr>
        <w:pStyle w:val="ListParagraph"/>
        <w:spacing w:line="276" w:lineRule="auto"/>
      </w:pPr>
      <w:r>
        <w:t>The Accountability Mechanism (AM) – is comprised of two offices</w:t>
      </w:r>
    </w:p>
    <w:p w:rsidRPr="00A6061A" w:rsidR="00A6061A" w:rsidP="00574488" w:rsidRDefault="00A6061A" w14:paraId="411EE61E" w14:textId="198FCDB3">
      <w:pPr>
        <w:pStyle w:val="ListParagraph"/>
        <w:spacing w:line="276" w:lineRule="auto"/>
        <w:rPr>
          <w:i/>
        </w:rPr>
      </w:pPr>
      <w:r w:rsidRPr="00A6061A">
        <w:rPr>
          <w:i/>
        </w:rPr>
        <w:t>Operational 2004-present</w:t>
      </w:r>
    </w:p>
    <w:p w:rsidRPr="00A6061A" w:rsidR="00574488" w:rsidP="00574488" w:rsidRDefault="008E496F" w14:paraId="2D5EC379" w14:textId="21272075">
      <w:pPr>
        <w:pStyle w:val="ListParagraph"/>
        <w:spacing w:line="276" w:lineRule="auto"/>
      </w:pPr>
      <w:r w:rsidRPr="00574488">
        <w:lastRenderedPageBreak/>
        <w:t>Office of the Spe</w:t>
      </w:r>
      <w:r w:rsidRPr="00574488" w:rsidR="00A46A41">
        <w:t>cial Project Facilitator (OSPF)</w:t>
      </w:r>
      <w:r w:rsidR="00574488">
        <w:rPr>
          <w:i/>
        </w:rPr>
        <w:t xml:space="preserve"> </w:t>
      </w:r>
      <w:r w:rsidR="00A6061A">
        <w:rPr>
          <w:i/>
        </w:rPr>
        <w:softHyphen/>
      </w:r>
      <w:r w:rsidR="00A6061A">
        <w:t>– this is the ‘problem solving phase’</w:t>
      </w:r>
    </w:p>
    <w:p w:rsidRPr="00A6061A" w:rsidR="00574488" w:rsidP="00A6061A" w:rsidRDefault="00574488" w14:paraId="68408285" w14:textId="75E4BC6B">
      <w:pPr>
        <w:spacing w:line="276" w:lineRule="auto"/>
        <w:ind w:firstLine="720"/>
        <w:rPr>
          <w:i/>
        </w:rPr>
      </w:pPr>
      <w:r w:rsidRPr="00A6061A">
        <w:rPr>
          <w:i/>
        </w:rPr>
        <w:t>operational from 2004 – present</w:t>
      </w:r>
    </w:p>
    <w:p w:rsidR="00A6061A" w:rsidP="008E496F" w:rsidRDefault="00A6061A" w14:paraId="39AC6663" w14:textId="77777777">
      <w:pPr>
        <w:pStyle w:val="ListParagraph"/>
        <w:spacing w:line="276" w:lineRule="auto"/>
      </w:pPr>
    </w:p>
    <w:p w:rsidRPr="00A6061A" w:rsidR="00574488" w:rsidP="008E496F" w:rsidRDefault="008E496F" w14:paraId="2207A911" w14:textId="2CAB1F50">
      <w:pPr>
        <w:pStyle w:val="ListParagraph"/>
        <w:spacing w:line="276" w:lineRule="auto"/>
      </w:pPr>
      <w:r w:rsidRPr="00574488">
        <w:t>Compliance Review Panel (CRP)</w:t>
      </w:r>
      <w:r w:rsidR="00574488">
        <w:rPr>
          <w:i/>
        </w:rPr>
        <w:t xml:space="preserve"> </w:t>
      </w:r>
      <w:r w:rsidR="00A6061A">
        <w:t>- this is the compliance investigation phase</w:t>
      </w:r>
    </w:p>
    <w:p w:rsidR="008E496F" w:rsidP="008E496F" w:rsidRDefault="00574488" w14:paraId="4979AF4C" w14:textId="556DF1DE">
      <w:pPr>
        <w:pStyle w:val="ListParagraph"/>
        <w:spacing w:line="276" w:lineRule="auto"/>
        <w:rPr>
          <w:i/>
        </w:rPr>
      </w:pPr>
      <w:r>
        <w:rPr>
          <w:i/>
        </w:rPr>
        <w:t xml:space="preserve">operational from </w:t>
      </w:r>
      <w:r w:rsidRPr="00AE52CC">
        <w:rPr>
          <w:i/>
        </w:rPr>
        <w:t>2004 – present</w:t>
      </w:r>
    </w:p>
    <w:p w:rsidRPr="008E496F" w:rsidR="00CE48CB" w:rsidP="008E496F" w:rsidRDefault="00CE48CB" w14:paraId="5245B50A" w14:textId="77777777">
      <w:pPr>
        <w:pStyle w:val="ListParagraph"/>
        <w:spacing w:line="276" w:lineRule="auto"/>
        <w:rPr>
          <w:i/>
        </w:rPr>
      </w:pPr>
    </w:p>
    <w:p w:rsidRPr="008E496F" w:rsidR="008E496F" w:rsidP="008E496F" w:rsidRDefault="008E496F" w14:paraId="5C46E132" w14:textId="7D7AEF4D">
      <w:pPr>
        <w:pStyle w:val="ListParagraph"/>
        <w:numPr>
          <w:ilvl w:val="0"/>
          <w:numId w:val="3"/>
        </w:numPr>
        <w:spacing w:line="276" w:lineRule="auto"/>
        <w:rPr>
          <w:u w:val="single"/>
        </w:rPr>
      </w:pPr>
      <w:r w:rsidRPr="008E496F">
        <w:rPr>
          <w:u w:val="single"/>
        </w:rPr>
        <w:t>European Bank for Reconstruction and Development (EBRD)</w:t>
      </w:r>
    </w:p>
    <w:p w:rsidR="00574488" w:rsidP="00574488" w:rsidRDefault="008E496F" w14:paraId="2E2DD739" w14:textId="6C0267F7">
      <w:pPr>
        <w:pStyle w:val="ListParagraph"/>
        <w:spacing w:line="276" w:lineRule="auto"/>
      </w:pPr>
      <w:r w:rsidRPr="00574488">
        <w:t>Independent Recourse Mechanism – Historic</w:t>
      </w:r>
      <w:r w:rsidRPr="00574488" w:rsidR="00A46A41">
        <w:t xml:space="preserve"> (IRM</w:t>
      </w:r>
      <w:r w:rsidR="002C13AC">
        <w:t xml:space="preserve"> (EBRD)</w:t>
      </w:r>
      <w:r w:rsidRPr="00574488" w:rsidR="00A46A41">
        <w:t>)</w:t>
      </w:r>
      <w:r w:rsidR="00574488">
        <w:t xml:space="preserve"> </w:t>
      </w:r>
      <w:r w:rsidR="00A6061A">
        <w:t>– both problem solving and compliance investigation</w:t>
      </w:r>
    </w:p>
    <w:p w:rsidRPr="00574488" w:rsidR="00574488" w:rsidP="00574488" w:rsidRDefault="00574488" w14:paraId="0AB9C833" w14:textId="2FA6834B">
      <w:pPr>
        <w:pStyle w:val="ListParagraph"/>
        <w:spacing w:line="276" w:lineRule="auto"/>
        <w:rPr>
          <w:i/>
        </w:rPr>
      </w:pPr>
      <w:r>
        <w:rPr>
          <w:i/>
        </w:rPr>
        <w:t>operational from 2005 – 2007</w:t>
      </w:r>
    </w:p>
    <w:p w:rsidR="00A6061A" w:rsidP="00574488" w:rsidRDefault="00A6061A" w14:paraId="1E6DFE99" w14:textId="77777777">
      <w:pPr>
        <w:pStyle w:val="ListParagraph"/>
        <w:spacing w:line="276" w:lineRule="auto"/>
      </w:pPr>
    </w:p>
    <w:p w:rsidR="00574488" w:rsidP="00574488" w:rsidRDefault="008E496F" w14:paraId="568077BF" w14:textId="7E063582">
      <w:pPr>
        <w:pStyle w:val="ListParagraph"/>
        <w:spacing w:line="276" w:lineRule="auto"/>
      </w:pPr>
      <w:r w:rsidRPr="00574488">
        <w:t>Project Complaint Mechanism (PCM)</w:t>
      </w:r>
      <w:r w:rsidR="00574488">
        <w:t xml:space="preserve"> </w:t>
      </w:r>
      <w:r w:rsidR="00A6061A">
        <w:t>- both problem solving and compliance investigation</w:t>
      </w:r>
    </w:p>
    <w:p w:rsidRPr="00574488" w:rsidR="00574488" w:rsidP="00574488" w:rsidRDefault="00574488" w14:paraId="40CE9215" w14:textId="17D40B28">
      <w:pPr>
        <w:pStyle w:val="ListParagraph"/>
        <w:spacing w:line="276" w:lineRule="auto"/>
        <w:rPr>
          <w:i/>
        </w:rPr>
      </w:pPr>
      <w:r>
        <w:rPr>
          <w:i/>
        </w:rPr>
        <w:t xml:space="preserve">operational from 2010 – </w:t>
      </w:r>
      <w:r w:rsidR="00E11BDB">
        <w:rPr>
          <w:i/>
        </w:rPr>
        <w:t>202</w:t>
      </w:r>
      <w:r w:rsidR="00625451">
        <w:rPr>
          <w:i/>
        </w:rPr>
        <w:t>0</w:t>
      </w:r>
    </w:p>
    <w:p w:rsidR="00CE48CB" w:rsidP="008E496F" w:rsidRDefault="00CE48CB" w14:paraId="573F28EF" w14:textId="77ADC7B8">
      <w:pPr>
        <w:pStyle w:val="ListParagraph"/>
        <w:spacing w:line="276" w:lineRule="auto"/>
        <w:rPr>
          <w:i/>
        </w:rPr>
      </w:pPr>
    </w:p>
    <w:p w:rsidRPr="00317992" w:rsidR="00E11BDB" w:rsidP="008E496F" w:rsidRDefault="00625451" w14:paraId="60D3E370" w14:textId="30F6B93D">
      <w:pPr>
        <w:pStyle w:val="ListParagraph"/>
        <w:spacing w:line="276" w:lineRule="auto"/>
        <w:rPr>
          <w:iCs/>
        </w:rPr>
      </w:pPr>
      <w:r w:rsidRPr="00317992">
        <w:rPr>
          <w:iCs/>
        </w:rPr>
        <w:t>Independent Project Accountability Mechanism</w:t>
      </w:r>
      <w:r w:rsidRPr="00317992" w:rsidR="00317992">
        <w:rPr>
          <w:iCs/>
        </w:rPr>
        <w:t xml:space="preserve"> (IPAM)</w:t>
      </w:r>
      <w:r w:rsidRPr="00317992">
        <w:rPr>
          <w:iCs/>
        </w:rPr>
        <w:t xml:space="preserve"> – both problem solving and compliance investigation</w:t>
      </w:r>
    </w:p>
    <w:p w:rsidRPr="00625451" w:rsidR="00625451" w:rsidP="008E496F" w:rsidRDefault="00625451" w14:paraId="4E05E150" w14:textId="261EEF34">
      <w:pPr>
        <w:pStyle w:val="ListParagraph"/>
        <w:spacing w:line="276" w:lineRule="auto"/>
        <w:rPr>
          <w:i/>
        </w:rPr>
      </w:pPr>
      <w:r w:rsidRPr="00317992">
        <w:rPr>
          <w:i/>
        </w:rPr>
        <w:t>operational from 2020 - present</w:t>
      </w:r>
    </w:p>
    <w:p w:rsidRPr="008E496F" w:rsidR="00E11BDB" w:rsidP="008E496F" w:rsidRDefault="00E11BDB" w14:paraId="19E3F38E" w14:textId="77777777">
      <w:pPr>
        <w:pStyle w:val="ListParagraph"/>
        <w:spacing w:line="276" w:lineRule="auto"/>
        <w:rPr>
          <w:i/>
        </w:rPr>
      </w:pPr>
    </w:p>
    <w:p w:rsidRPr="008E496F" w:rsidR="008E496F" w:rsidP="008E496F" w:rsidRDefault="008E496F" w14:paraId="1C9B00AB" w14:textId="2F24E819">
      <w:pPr>
        <w:pStyle w:val="ListParagraph"/>
        <w:numPr>
          <w:ilvl w:val="0"/>
          <w:numId w:val="3"/>
        </w:numPr>
        <w:spacing w:line="276" w:lineRule="auto"/>
        <w:rPr>
          <w:u w:val="single"/>
        </w:rPr>
      </w:pPr>
      <w:r w:rsidRPr="008E496F">
        <w:rPr>
          <w:u w:val="single"/>
        </w:rPr>
        <w:t>Int</w:t>
      </w:r>
      <w:r w:rsidR="00B123FA">
        <w:rPr>
          <w:u w:val="single"/>
        </w:rPr>
        <w:t>er-American Development Bank (I</w:t>
      </w:r>
      <w:r w:rsidRPr="008E496F">
        <w:rPr>
          <w:u w:val="single"/>
        </w:rPr>
        <w:t>DB)</w:t>
      </w:r>
    </w:p>
    <w:p w:rsidR="00574488" w:rsidP="00BA7100" w:rsidRDefault="008E496F" w14:paraId="345E8D6A" w14:textId="211966F0">
      <w:pPr>
        <w:pStyle w:val="ListParagraph"/>
        <w:spacing w:line="276" w:lineRule="auto"/>
      </w:pPr>
      <w:r w:rsidRPr="00574488">
        <w:t>Independent Investigation Mechanism</w:t>
      </w:r>
      <w:r w:rsidRPr="00574488" w:rsidR="00BA7100">
        <w:t xml:space="preserve"> – Historic (IIM)</w:t>
      </w:r>
      <w:r w:rsidR="005C69D0">
        <w:t xml:space="preserve"> </w:t>
      </w:r>
      <w:r w:rsidR="00A6061A">
        <w:t>-</w:t>
      </w:r>
      <w:r w:rsidR="00574488">
        <w:t xml:space="preserve"> </w:t>
      </w:r>
      <w:r w:rsidR="00A6061A">
        <w:t>compliance investigation</w:t>
      </w:r>
      <w:r w:rsidR="0083099B">
        <w:t xml:space="preserve"> only</w:t>
      </w:r>
    </w:p>
    <w:p w:rsidRPr="00574488" w:rsidR="00A46A41" w:rsidP="00BA7100" w:rsidRDefault="00574488" w14:paraId="4CF78CC9" w14:textId="2A63ECCF">
      <w:pPr>
        <w:pStyle w:val="ListParagraph"/>
        <w:spacing w:line="276" w:lineRule="auto"/>
      </w:pPr>
      <w:r>
        <w:rPr>
          <w:i/>
        </w:rPr>
        <w:t>operational from 1997 – 2009</w:t>
      </w:r>
    </w:p>
    <w:p w:rsidR="00574488" w:rsidP="00CE48CB" w:rsidRDefault="00BA7100" w14:paraId="23AF212A" w14:textId="593B5028">
      <w:pPr>
        <w:pStyle w:val="ListParagraph"/>
        <w:spacing w:line="276" w:lineRule="auto"/>
      </w:pPr>
      <w:r w:rsidRPr="00574488">
        <w:t>Independent Consultation an</w:t>
      </w:r>
      <w:r w:rsidRPr="00574488" w:rsidR="00CE48CB">
        <w:t>d Investigation Mechanism (MICI</w:t>
      </w:r>
      <w:r w:rsidRPr="00574488">
        <w:t>)</w:t>
      </w:r>
      <w:r w:rsidR="00574488">
        <w:t xml:space="preserve"> </w:t>
      </w:r>
      <w:r w:rsidR="00A6061A">
        <w:t>- both problem solving and compliance investigation</w:t>
      </w:r>
    </w:p>
    <w:p w:rsidRPr="00574488" w:rsidR="00BA7100" w:rsidP="00CE48CB" w:rsidRDefault="00574488" w14:paraId="65C138BE" w14:textId="10980E05">
      <w:pPr>
        <w:pStyle w:val="ListParagraph"/>
        <w:spacing w:line="276" w:lineRule="auto"/>
        <w:rPr>
          <w:i/>
        </w:rPr>
      </w:pPr>
      <w:r>
        <w:rPr>
          <w:i/>
        </w:rPr>
        <w:t>operational from 2010 – present</w:t>
      </w:r>
    </w:p>
    <w:p w:rsidRPr="00574488" w:rsidR="00CE48CB" w:rsidP="00BA7100" w:rsidRDefault="00CE48CB" w14:paraId="2D487FC7" w14:textId="77777777">
      <w:pPr>
        <w:pStyle w:val="ListParagraph"/>
        <w:spacing w:line="276" w:lineRule="auto"/>
      </w:pPr>
    </w:p>
    <w:p w:rsidRPr="008E496F" w:rsidR="00BA7100" w:rsidP="00BA7100" w:rsidRDefault="00BA7100" w14:paraId="40AAC2F4" w14:textId="3FED27B8">
      <w:pPr>
        <w:pStyle w:val="ListParagraph"/>
        <w:numPr>
          <w:ilvl w:val="0"/>
          <w:numId w:val="3"/>
        </w:numPr>
        <w:spacing w:line="276" w:lineRule="auto"/>
        <w:rPr>
          <w:u w:val="single"/>
        </w:rPr>
      </w:pPr>
      <w:r>
        <w:rPr>
          <w:u w:val="single"/>
        </w:rPr>
        <w:t>International Finance Corporation (IFC)</w:t>
      </w:r>
    </w:p>
    <w:p w:rsidR="00BA7100" w:rsidP="00BA7100" w:rsidRDefault="00BA7100" w14:paraId="7205D86A" w14:textId="764F86AF">
      <w:pPr>
        <w:pStyle w:val="ListParagraph"/>
        <w:spacing w:line="276" w:lineRule="auto"/>
      </w:pPr>
      <w:r w:rsidRPr="00574488">
        <w:t>Compliance Advisor Ombudsman (CAO)</w:t>
      </w:r>
      <w:r w:rsidR="00A6061A">
        <w:t xml:space="preserve"> both </w:t>
      </w:r>
      <w:proofErr w:type="gramStart"/>
      <w:r w:rsidR="00A6061A">
        <w:t>problem</w:t>
      </w:r>
      <w:proofErr w:type="gramEnd"/>
      <w:r w:rsidR="00A6061A">
        <w:t xml:space="preserve"> solving, compliance investigation and advisory powers</w:t>
      </w:r>
    </w:p>
    <w:p w:rsidRPr="00574488" w:rsidR="00574488" w:rsidP="00BA7100" w:rsidRDefault="00574488" w14:paraId="1F1D6BA0" w14:textId="01C49F1C">
      <w:pPr>
        <w:pStyle w:val="ListParagraph"/>
        <w:spacing w:line="276" w:lineRule="auto"/>
      </w:pPr>
      <w:r>
        <w:rPr>
          <w:i/>
        </w:rPr>
        <w:t>operational from 2000 – present</w:t>
      </w:r>
    </w:p>
    <w:p w:rsidRPr="00574488" w:rsidR="00CE48CB" w:rsidP="00BA7100" w:rsidRDefault="00CE48CB" w14:paraId="515ABF19" w14:textId="77777777">
      <w:pPr>
        <w:pStyle w:val="ListParagraph"/>
        <w:spacing w:line="276" w:lineRule="auto"/>
      </w:pPr>
    </w:p>
    <w:p w:rsidRPr="008E496F" w:rsidR="00BA7100" w:rsidP="00BA7100" w:rsidRDefault="00BA7100" w14:paraId="654C492D" w14:textId="59EB1A17">
      <w:pPr>
        <w:pStyle w:val="ListParagraph"/>
        <w:numPr>
          <w:ilvl w:val="0"/>
          <w:numId w:val="3"/>
        </w:numPr>
        <w:spacing w:line="276" w:lineRule="auto"/>
        <w:rPr>
          <w:u w:val="single"/>
        </w:rPr>
      </w:pPr>
      <w:r>
        <w:rPr>
          <w:u w:val="single"/>
        </w:rPr>
        <w:t>World Bank (W</w:t>
      </w:r>
      <w:r w:rsidRPr="008E496F">
        <w:rPr>
          <w:u w:val="single"/>
        </w:rPr>
        <w:t>B)</w:t>
      </w:r>
    </w:p>
    <w:p w:rsidR="00BA7100" w:rsidP="00BA7100" w:rsidRDefault="00BA7100" w14:paraId="3AA02820" w14:textId="245286BD">
      <w:pPr>
        <w:pStyle w:val="ListParagraph"/>
        <w:spacing w:line="276" w:lineRule="auto"/>
      </w:pPr>
      <w:r w:rsidR="00BA7100">
        <w:rPr/>
        <w:t>Inspection Panel (IP)</w:t>
      </w:r>
      <w:r w:rsidR="00A6061A">
        <w:rPr/>
        <w:t xml:space="preserve"> –</w:t>
      </w:r>
      <w:r w:rsidR="0083099B">
        <w:rPr/>
        <w:t xml:space="preserve"> </w:t>
      </w:r>
      <w:r w:rsidR="00A6061A">
        <w:rPr/>
        <w:t>compliance investigation</w:t>
      </w:r>
      <w:r w:rsidR="0083099B">
        <w:rPr/>
        <w:t xml:space="preserve"> only</w:t>
      </w:r>
      <w:r w:rsidR="3A85BDEE">
        <w:rPr/>
        <w:t xml:space="preserve"> between 1994-2021, dispute resolution mechanism added 2021</w:t>
      </w:r>
    </w:p>
    <w:p w:rsidR="00574488" w:rsidP="3799C5EC" w:rsidRDefault="00574488" w14:paraId="6F18A220" w14:textId="5B46D72D">
      <w:pPr>
        <w:pStyle w:val="ListParagraph"/>
        <w:spacing w:line="276" w:lineRule="auto"/>
        <w:rPr>
          <w:i w:val="1"/>
          <w:iCs w:val="1"/>
        </w:rPr>
      </w:pPr>
      <w:r w:rsidRPr="3799C5EC" w:rsidR="00574488">
        <w:rPr>
          <w:i w:val="1"/>
          <w:iCs w:val="1"/>
        </w:rPr>
        <w:t xml:space="preserve">operational from 1994 – </w:t>
      </w:r>
      <w:r w:rsidRPr="3799C5EC" w:rsidR="005E75BA">
        <w:rPr>
          <w:i w:val="1"/>
          <w:iCs w:val="1"/>
        </w:rPr>
        <w:t>202</w:t>
      </w:r>
      <w:r w:rsidRPr="3799C5EC" w:rsidR="0A50A9F5">
        <w:rPr>
          <w:i w:val="1"/>
          <w:iCs w:val="1"/>
        </w:rPr>
        <w:t>2</w:t>
      </w:r>
    </w:p>
    <w:p w:rsidR="0007396A" w:rsidP="00BA7100" w:rsidRDefault="0007396A" w14:paraId="5E58EB20" w14:textId="14411A32">
      <w:pPr>
        <w:pStyle w:val="ListParagraph"/>
        <w:spacing w:line="276" w:lineRule="auto"/>
        <w:rPr>
          <w:i/>
        </w:rPr>
      </w:pPr>
    </w:p>
    <w:p w:rsidRPr="00317992" w:rsidR="0007396A" w:rsidP="00BA7100" w:rsidRDefault="00BD058C" w14:paraId="2096B566" w14:textId="3A79AED5">
      <w:pPr>
        <w:pStyle w:val="ListParagraph"/>
        <w:spacing w:line="276" w:lineRule="auto"/>
        <w:rPr>
          <w:iCs/>
        </w:rPr>
      </w:pPr>
      <w:r w:rsidRPr="00317992">
        <w:rPr>
          <w:iCs/>
        </w:rPr>
        <w:t>Accountability Mechanism (AM) – Inspection Panel (IP) and Dispute Resolution Service (DRS)</w:t>
      </w:r>
    </w:p>
    <w:p w:rsidRPr="00114416" w:rsidR="00114416" w:rsidP="00BA7100" w:rsidRDefault="00B6556A" w14:paraId="6934F36C" w14:textId="2AA47AAA">
      <w:pPr>
        <w:pStyle w:val="ListParagraph"/>
        <w:spacing w:line="276" w:lineRule="auto"/>
        <w:rPr>
          <w:i/>
        </w:rPr>
      </w:pPr>
      <w:r w:rsidRPr="00317992">
        <w:rPr>
          <w:i/>
        </w:rPr>
        <w:t>o</w:t>
      </w:r>
      <w:r w:rsidRPr="00317992" w:rsidR="00114416">
        <w:rPr>
          <w:i/>
        </w:rPr>
        <w:t xml:space="preserve">perational from 2021 - </w:t>
      </w:r>
      <w:r w:rsidRPr="00317992" w:rsidR="005E75BA">
        <w:rPr>
          <w:i/>
        </w:rPr>
        <w:t>present</w:t>
      </w:r>
    </w:p>
    <w:p w:rsidRPr="00A13EBA" w:rsidR="00A13EBA" w:rsidP="00BA7100" w:rsidRDefault="00A13EBA" w14:paraId="6AB58B1D" w14:textId="77777777">
      <w:pPr>
        <w:pStyle w:val="ListParagraph"/>
        <w:spacing w:line="276" w:lineRule="auto"/>
      </w:pPr>
    </w:p>
    <w:p w:rsidRPr="001561E1" w:rsidR="001561E1" w:rsidP="00BA7100" w:rsidRDefault="001561E1" w14:paraId="12F53938" w14:textId="74AF7F4D">
      <w:pPr>
        <w:spacing w:line="276" w:lineRule="auto"/>
        <w:rPr>
          <w:b/>
          <w:i/>
        </w:rPr>
      </w:pPr>
      <w:r>
        <w:rPr>
          <w:b/>
          <w:i/>
        </w:rPr>
        <w:t>2.2</w:t>
      </w:r>
      <w:r w:rsidRPr="00C64617">
        <w:rPr>
          <w:b/>
          <w:i/>
        </w:rPr>
        <w:t xml:space="preserve">. The </w:t>
      </w:r>
      <w:r>
        <w:rPr>
          <w:b/>
          <w:i/>
        </w:rPr>
        <w:t>Process</w:t>
      </w:r>
    </w:p>
    <w:p w:rsidR="00FE06F8" w:rsidP="001561E1" w:rsidRDefault="001561E1" w14:paraId="45C11662" w14:textId="18F374E8">
      <w:pPr>
        <w:spacing w:line="276" w:lineRule="auto"/>
      </w:pPr>
      <w:r w:rsidRPr="001561E1">
        <w:lastRenderedPageBreak/>
        <w:t xml:space="preserve">When a case is received by an AM, it </w:t>
      </w:r>
      <w:r w:rsidRPr="001561E1" w:rsidR="000305F2">
        <w:t>decides</w:t>
      </w:r>
      <w:r w:rsidRPr="001561E1">
        <w:t xml:space="preserve"> about whether the case has a prima facie basis that warrants registrat</w:t>
      </w:r>
      <w:r>
        <w:t>ion. If a case is registered, a more detailed</w:t>
      </w:r>
      <w:r w:rsidRPr="001561E1">
        <w:t xml:space="preserve"> assessment is </w:t>
      </w:r>
      <w:r>
        <w:t xml:space="preserve">then </w:t>
      </w:r>
      <w:r w:rsidRPr="001561E1">
        <w:t xml:space="preserve">conducted to determine </w:t>
      </w:r>
      <w:proofErr w:type="gramStart"/>
      <w:r w:rsidRPr="001561E1">
        <w:t>whether</w:t>
      </w:r>
      <w:r w:rsidR="00E85AE7">
        <w:t xml:space="preserve"> or not</w:t>
      </w:r>
      <w:proofErr w:type="gramEnd"/>
      <w:r w:rsidR="00E85AE7">
        <w:t xml:space="preserve"> it is eligible for the consultation phase or the investigation p</w:t>
      </w:r>
      <w:r w:rsidRPr="001561E1">
        <w:t xml:space="preserve">hase, according to various exclusion criteria as outlined further below. </w:t>
      </w:r>
    </w:p>
    <w:p w:rsidR="00FE06F8" w:rsidP="001561E1" w:rsidRDefault="00FE06F8" w14:paraId="467679CF" w14:textId="77777777">
      <w:pPr>
        <w:spacing w:line="276" w:lineRule="auto"/>
      </w:pPr>
    </w:p>
    <w:p w:rsidRPr="001561E1" w:rsidR="001561E1" w:rsidP="001561E1" w:rsidRDefault="00FE06F8" w14:paraId="17676B91" w14:textId="01F297B0">
      <w:pPr>
        <w:spacing w:line="276" w:lineRule="auto"/>
      </w:pPr>
      <w:r>
        <w:t xml:space="preserve">For each AM a </w:t>
      </w:r>
      <w:r w:rsidR="00497837">
        <w:t>Request</w:t>
      </w:r>
      <w:r>
        <w:t xml:space="preserve"> can either be found eligible for a Consultation Phase, an Investigation Phase, or both, </w:t>
      </w:r>
      <w:proofErr w:type="gramStart"/>
      <w:r>
        <w:t>or</w:t>
      </w:r>
      <w:proofErr w:type="gramEnd"/>
      <w:r>
        <w:t xml:space="preserve"> neither</w:t>
      </w:r>
      <w:r w:rsidR="00321E6B">
        <w:t xml:space="preserve"> (a</w:t>
      </w:r>
      <w:r w:rsidRPr="00321E6B" w:rsidR="001D698C">
        <w:t>s of 2021, the W</w:t>
      </w:r>
      <w:r w:rsidR="00321E6B">
        <w:t xml:space="preserve">orld </w:t>
      </w:r>
      <w:r w:rsidRPr="00321E6B" w:rsidR="001D698C">
        <w:t>B</w:t>
      </w:r>
      <w:r w:rsidR="00321E6B">
        <w:t>ank</w:t>
      </w:r>
      <w:r w:rsidRPr="00321E6B" w:rsidR="001D698C">
        <w:t xml:space="preserve"> follows the same process</w:t>
      </w:r>
      <w:r w:rsidR="00321E6B">
        <w:t xml:space="preserve"> as the other mechanisms)</w:t>
      </w:r>
      <w:r w:rsidRPr="00321E6B" w:rsidR="001D698C">
        <w:t>.</w:t>
      </w:r>
      <w:r w:rsidR="001D698C">
        <w:t xml:space="preserve"> </w:t>
      </w:r>
      <w:r w:rsidRPr="001561E1" w:rsidR="001561E1">
        <w:t>If the case is determined eligible, it then begins to move through the stages of the relevant phase.</w:t>
      </w:r>
      <w:r w:rsidR="0083099B">
        <w:t xml:space="preserve"> Each of the mechanisms have updated their rules of procedure over time. Some may have required claimants to first go through the consultation phase first before going to a compliance investigation. Most now enable claimants to choose if they want consultation or compliance investigation.</w:t>
      </w:r>
      <w:r w:rsidR="00522855">
        <w:t xml:space="preserve"> This is detailed for each AM under the heading ‘Processing Procedure’.</w:t>
      </w:r>
    </w:p>
    <w:p w:rsidR="001561E1" w:rsidP="00BA7100" w:rsidRDefault="001561E1" w14:paraId="07404D14" w14:textId="77777777">
      <w:pPr>
        <w:spacing w:line="276" w:lineRule="auto"/>
        <w:rPr>
          <w:i/>
        </w:rPr>
      </w:pPr>
    </w:p>
    <w:p w:rsidR="00C64617" w:rsidP="00BA7100" w:rsidRDefault="00BA7100" w14:paraId="05EAD379" w14:textId="28CAD9F9">
      <w:pPr>
        <w:spacing w:line="276" w:lineRule="auto"/>
      </w:pPr>
      <w:r>
        <w:t>T</w:t>
      </w:r>
      <w:r w:rsidR="00CE48CB">
        <w:t xml:space="preserve">he coloured columns </w:t>
      </w:r>
      <w:r w:rsidR="00C64617">
        <w:t xml:space="preserve">in each sheet </w:t>
      </w:r>
      <w:r w:rsidR="00CE48CB">
        <w:t xml:space="preserve">represent a </w:t>
      </w:r>
      <w:r w:rsidR="00C64617">
        <w:t xml:space="preserve">left-to-right </w:t>
      </w:r>
      <w:r w:rsidR="00CE48CB">
        <w:t>timeline of the case</w:t>
      </w:r>
      <w:r w:rsidR="00C64617">
        <w:t xml:space="preserve"> as it progresses</w:t>
      </w:r>
      <w:r w:rsidR="00CE48CB">
        <w:t>; the green columns depict a case moving through t</w:t>
      </w:r>
      <w:r w:rsidR="0083099B">
        <w:t>he consultation p</w:t>
      </w:r>
      <w:r>
        <w:t>hase</w:t>
      </w:r>
      <w:r w:rsidR="00C64617">
        <w:t>,</w:t>
      </w:r>
      <w:r>
        <w:t xml:space="preserve"> and the</w:t>
      </w:r>
      <w:r w:rsidR="00CE48CB">
        <w:t xml:space="preserve"> blue columns depict</w:t>
      </w:r>
      <w:r>
        <w:t xml:space="preserve"> </w:t>
      </w:r>
      <w:r w:rsidR="0083099B">
        <w:t>a case moving through the compliance investigation p</w:t>
      </w:r>
      <w:r w:rsidR="00CE48CB">
        <w:t>hase.</w:t>
      </w:r>
      <w:r w:rsidR="00C64617">
        <w:t xml:space="preserve"> </w:t>
      </w:r>
      <w:r w:rsidR="00F65FF0">
        <w:t>The seven possible stages and the corresponding colours</w:t>
      </w:r>
      <w:r w:rsidR="00F65FF0">
        <w:rPr>
          <w:rStyle w:val="FootnoteReference"/>
        </w:rPr>
        <w:footnoteReference w:id="2"/>
      </w:r>
      <w:r w:rsidR="00F65FF0">
        <w:t xml:space="preserve"> are</w:t>
      </w:r>
      <w:r w:rsidR="00D82C40">
        <w:t xml:space="preserve"> based on the timeline given on the IFC website for CAO cases</w:t>
      </w:r>
      <w:r w:rsidR="006A5864">
        <w:t xml:space="preserve">, </w:t>
      </w:r>
      <w:proofErr w:type="gramStart"/>
      <w:r w:rsidR="006A5864">
        <w:t>with the exception of</w:t>
      </w:r>
      <w:proofErr w:type="gramEnd"/>
      <w:r w:rsidR="006A5864">
        <w:t xml:space="preserve"> the ‘Under Audit’ column, which has been renamed ‘Investigation’ for simplicity</w:t>
      </w:r>
      <w:r w:rsidR="00D82C40">
        <w:t xml:space="preserve">. </w:t>
      </w:r>
      <w:r w:rsidR="00A54F54">
        <w:t>For CAO cases, this has been replicated exactly as each timeline appears on the website; t</w:t>
      </w:r>
      <w:r w:rsidR="00D82C40">
        <w:t xml:space="preserve">he cases for the other AMs have been adapted to this same timeline by looking at the documents and </w:t>
      </w:r>
      <w:proofErr w:type="gramStart"/>
      <w:r w:rsidR="00D82C40">
        <w:t>making an assessment of</w:t>
      </w:r>
      <w:proofErr w:type="gramEnd"/>
      <w:r w:rsidR="00D82C40">
        <w:t xml:space="preserve"> how far the case progressed. The IDB website for MICI cases</w:t>
      </w:r>
      <w:r w:rsidR="00314EF7">
        <w:t xml:space="preserve"> and</w:t>
      </w:r>
      <w:r w:rsidR="00D82C40">
        <w:t xml:space="preserve"> </w:t>
      </w:r>
      <w:r w:rsidR="00314EF7">
        <w:t>the World Bank website for the Inspection Panel</w:t>
      </w:r>
      <w:r w:rsidR="00D82C40">
        <w:t xml:space="preserve"> </w:t>
      </w:r>
      <w:r w:rsidR="00314EF7">
        <w:t xml:space="preserve">have a </w:t>
      </w:r>
      <w:proofErr w:type="gramStart"/>
      <w:r w:rsidR="00314EF7">
        <w:t>similar but longer timelines</w:t>
      </w:r>
      <w:proofErr w:type="gramEnd"/>
      <w:r w:rsidR="00314EF7">
        <w:t xml:space="preserve"> which have</w:t>
      </w:r>
      <w:r w:rsidR="00D82C40">
        <w:t xml:space="preserve"> been condensed down to the seven stages of the CAO version.</w:t>
      </w:r>
    </w:p>
    <w:p w:rsidR="001561E1" w:rsidP="00BA7100" w:rsidRDefault="001561E1" w14:paraId="10D87CEA" w14:textId="77777777">
      <w:pPr>
        <w:spacing w:line="276" w:lineRule="auto"/>
      </w:pPr>
    </w:p>
    <w:p w:rsidR="00BA7100" w:rsidP="00BA7100" w:rsidRDefault="001561E1" w14:paraId="2E104B99" w14:textId="3DD7F4A2">
      <w:pPr>
        <w:spacing w:line="276" w:lineRule="auto"/>
      </w:pPr>
      <w:r>
        <w:t>Blank cells indicate that a</w:t>
      </w:r>
      <w:r w:rsidR="00C64617">
        <w:t xml:space="preserve"> particular case did not involve that </w:t>
      </w:r>
      <w:proofErr w:type="gramStart"/>
      <w:r w:rsidR="00C64617">
        <w:t>particular stage</w:t>
      </w:r>
      <w:proofErr w:type="gramEnd"/>
      <w:r w:rsidR="00C64617">
        <w:t xml:space="preserve"> of the mechanism. </w:t>
      </w:r>
      <w:r w:rsidR="0071726D">
        <w:t>A right arrow (</w:t>
      </w:r>
      <w:r w:rsidRPr="00511833" w:rsidR="0071726D">
        <w:rPr>
          <w:rFonts w:ascii="Wingdings" w:hAnsi="Wingdings"/>
          <w:b/>
          <w:color w:val="000000"/>
        </w:rPr>
        <w:t></w:t>
      </w:r>
      <w:r w:rsidR="0071726D">
        <w:t xml:space="preserve">) </w:t>
      </w:r>
      <w:r w:rsidR="00564126">
        <w:t xml:space="preserve">indicates that it progressed to the next stage of the relevant phase. A downward arrow </w:t>
      </w:r>
      <w:r w:rsidR="0071726D">
        <w:t>(</w:t>
      </w:r>
      <w:r w:rsidRPr="005E1564" w:rsidR="0071726D">
        <w:rPr>
          <w:rFonts w:ascii="Wingdings" w:hAnsi="Wingdings"/>
          <w:b/>
          <w:color w:val="000000"/>
        </w:rPr>
        <w:t></w:t>
      </w:r>
      <w:r w:rsidR="0071726D">
        <w:t xml:space="preserve">) </w:t>
      </w:r>
      <w:r w:rsidR="00564126">
        <w:t>indicates that the case is ongoing and currently</w:t>
      </w:r>
      <w:r w:rsidR="0083099B">
        <w:t xml:space="preserve"> remains</w:t>
      </w:r>
      <w:r w:rsidR="00564126">
        <w:t xml:space="preserve"> in that stage.</w:t>
      </w:r>
    </w:p>
    <w:p w:rsidR="00564126" w:rsidP="00BA7100" w:rsidRDefault="00564126" w14:paraId="0BD8DF09" w14:textId="77777777">
      <w:pPr>
        <w:spacing w:line="276" w:lineRule="auto"/>
      </w:pPr>
    </w:p>
    <w:p w:rsidR="00564126" w:rsidP="00564126" w:rsidRDefault="00564126" w14:paraId="51013808" w14:textId="1359EEF3">
      <w:pPr>
        <w:spacing w:line="276" w:lineRule="auto"/>
      </w:pPr>
      <w:r>
        <w:t xml:space="preserve">Every column can be filtered </w:t>
      </w:r>
      <w:r w:rsidR="00296C37">
        <w:t xml:space="preserve">to select specific criteria in that column </w:t>
      </w:r>
      <w:r>
        <w:t xml:space="preserve">and the case count at the bottom will update when a column </w:t>
      </w:r>
      <w:r w:rsidRPr="00F8655C">
        <w:t>or columns</w:t>
      </w:r>
      <w:r>
        <w:t xml:space="preserve"> are filtered.</w:t>
      </w:r>
      <w:r w:rsidR="00017B8A">
        <w:t xml:space="preserve"> In this way, users can quickly count all unregistered cases, or all cases found ineligible for a specific reason, or all cases that involved a specific policy violation,</w:t>
      </w:r>
      <w:r w:rsidR="004C0219">
        <w:t xml:space="preserve"> or all </w:t>
      </w:r>
      <w:r w:rsidR="0083099B">
        <w:t>cases found ineligible for the consultation p</w:t>
      </w:r>
      <w:r w:rsidR="004C0219">
        <w:t xml:space="preserve">hase but still went to the </w:t>
      </w:r>
      <w:r w:rsidR="0083099B">
        <w:t>compliance i</w:t>
      </w:r>
      <w:r w:rsidR="004C0219">
        <w:t>nvestig</w:t>
      </w:r>
      <w:r w:rsidR="0083099B">
        <w:t>ation Phase (two column search)</w:t>
      </w:r>
      <w:r w:rsidR="00017B8A">
        <w:t>.</w:t>
      </w:r>
      <w:r w:rsidR="00F8655C">
        <w:t xml:space="preserve"> See further details on usage in Section 2.6.</w:t>
      </w:r>
    </w:p>
    <w:p w:rsidR="00564126" w:rsidP="00564126" w:rsidRDefault="00564126" w14:paraId="4D55E530" w14:textId="77777777">
      <w:pPr>
        <w:spacing w:line="276" w:lineRule="auto"/>
        <w:rPr>
          <w:lang w:val="en-US"/>
        </w:rPr>
      </w:pPr>
    </w:p>
    <w:p w:rsidRPr="00564126" w:rsidR="00564126" w:rsidP="00BA7100" w:rsidRDefault="00564126" w14:paraId="19F116B7" w14:textId="6A06CEAD">
      <w:pPr>
        <w:spacing w:line="276" w:lineRule="auto"/>
        <w:rPr>
          <w:lang w:val="en-US"/>
        </w:rPr>
      </w:pPr>
      <w:r w:rsidRPr="006204D0">
        <w:rPr>
          <w:lang w:val="en-US"/>
        </w:rPr>
        <w:lastRenderedPageBreak/>
        <w:t xml:space="preserve">Cases with an asterisk </w:t>
      </w:r>
      <w:r w:rsidR="00B54143">
        <w:rPr>
          <w:lang w:val="en-US"/>
        </w:rPr>
        <w:t xml:space="preserve">at the end </w:t>
      </w:r>
      <w:r w:rsidRPr="006204D0">
        <w:rPr>
          <w:lang w:val="en-US"/>
        </w:rPr>
        <w:t xml:space="preserve">of the name in the </w:t>
      </w:r>
      <w:r w:rsidR="00B54143">
        <w:rPr>
          <w:lang w:val="en-US"/>
        </w:rPr>
        <w:t>‘</w:t>
      </w:r>
      <w:r w:rsidRPr="006204D0">
        <w:rPr>
          <w:lang w:val="en-US"/>
        </w:rPr>
        <w:t>Project</w:t>
      </w:r>
      <w:r w:rsidR="00B54143">
        <w:rPr>
          <w:lang w:val="en-US"/>
        </w:rPr>
        <w:t>’</w:t>
      </w:r>
      <w:r w:rsidRPr="006204D0">
        <w:rPr>
          <w:lang w:val="en-US"/>
        </w:rPr>
        <w:t xml:space="preserve"> column are still </w:t>
      </w:r>
      <w:r w:rsidR="002C0ED0">
        <w:rPr>
          <w:lang w:val="en-US"/>
        </w:rPr>
        <w:t>ongoing</w:t>
      </w:r>
      <w:r w:rsidRPr="006204D0">
        <w:rPr>
          <w:lang w:val="en-US"/>
        </w:rPr>
        <w:t>.</w:t>
      </w:r>
      <w:r w:rsidR="00CB0BEC">
        <w:rPr>
          <w:lang w:val="en-US"/>
        </w:rPr>
        <w:t xml:space="preserve"> The user can search for all </w:t>
      </w:r>
      <w:r w:rsidR="002C0ED0">
        <w:rPr>
          <w:lang w:val="en-US"/>
        </w:rPr>
        <w:t>ongoing</w:t>
      </w:r>
      <w:r w:rsidR="00CB0BEC">
        <w:rPr>
          <w:lang w:val="en-US"/>
        </w:rPr>
        <w:t xml:space="preserve"> cases by clicking on the </w:t>
      </w:r>
      <w:r w:rsidR="000305F2">
        <w:rPr>
          <w:lang w:val="en-US"/>
        </w:rPr>
        <w:t>drop-down</w:t>
      </w:r>
      <w:r w:rsidR="00CB0BEC">
        <w:rPr>
          <w:lang w:val="en-US"/>
        </w:rPr>
        <w:t xml:space="preserve"> menu in the ‘Project’ column and typing ~* into the search box. </w:t>
      </w:r>
      <w:r w:rsidR="00FD6BE0">
        <w:rPr>
          <w:lang w:val="en-US"/>
        </w:rPr>
        <w:t xml:space="preserve"> </w:t>
      </w:r>
    </w:p>
    <w:p w:rsidR="00C64617" w:rsidP="00BA7100" w:rsidRDefault="00C64617" w14:paraId="1D510220" w14:textId="77777777">
      <w:pPr>
        <w:spacing w:line="276" w:lineRule="auto"/>
      </w:pPr>
    </w:p>
    <w:p w:rsidR="00296C37" w:rsidP="00BA7100" w:rsidRDefault="001561E1" w14:paraId="594016A2" w14:textId="4C38B827">
      <w:pPr>
        <w:spacing w:line="276" w:lineRule="auto"/>
      </w:pPr>
      <w:r>
        <w:t>The W</w:t>
      </w:r>
      <w:r w:rsidR="0083099B">
        <w:t xml:space="preserve">orld </w:t>
      </w:r>
      <w:r>
        <w:t>B</w:t>
      </w:r>
      <w:r w:rsidR="0083099B">
        <w:t>ank</w:t>
      </w:r>
      <w:r w:rsidR="006204D0">
        <w:t xml:space="preserve"> is depicted differently to all the others</w:t>
      </w:r>
      <w:r>
        <w:t>,</w:t>
      </w:r>
      <w:r w:rsidR="0083099B">
        <w:t xml:space="preserve"> as it d</w:t>
      </w:r>
      <w:r w:rsidR="00321E6B">
        <w:t>id</w:t>
      </w:r>
      <w:r w:rsidR="0083099B">
        <w:t xml:space="preserve"> not have a consultation p</w:t>
      </w:r>
      <w:r w:rsidR="006204D0">
        <w:t>hase</w:t>
      </w:r>
      <w:r w:rsidR="00321E6B">
        <w:t xml:space="preserve"> until 2021 and claims have only just begun requesting this</w:t>
      </w:r>
      <w:r w:rsidR="006204D0">
        <w:t>.</w:t>
      </w:r>
      <w:r>
        <w:t xml:space="preserve"> This is outlined further in Section 8 of this document.</w:t>
      </w:r>
    </w:p>
    <w:p w:rsidR="001561E1" w:rsidP="00BA7100" w:rsidRDefault="001561E1" w14:paraId="0D283B57" w14:textId="77777777">
      <w:pPr>
        <w:spacing w:line="276" w:lineRule="auto"/>
      </w:pPr>
    </w:p>
    <w:p w:rsidR="001561E1" w:rsidP="00BA7100" w:rsidRDefault="001561E1" w14:paraId="0AB3A268" w14:textId="7C7D83A6">
      <w:pPr>
        <w:spacing w:line="276" w:lineRule="auto"/>
        <w:rPr>
          <w:b/>
          <w:i/>
        </w:rPr>
      </w:pPr>
      <w:r>
        <w:rPr>
          <w:b/>
          <w:i/>
        </w:rPr>
        <w:t>2.3</w:t>
      </w:r>
      <w:r w:rsidRPr="00C64617">
        <w:rPr>
          <w:b/>
          <w:i/>
        </w:rPr>
        <w:t xml:space="preserve">. </w:t>
      </w:r>
      <w:r>
        <w:rPr>
          <w:b/>
          <w:i/>
        </w:rPr>
        <w:t>Column Headings</w:t>
      </w:r>
    </w:p>
    <w:p w:rsidRPr="00B5522F" w:rsidR="00B5522F" w:rsidP="00BA7100" w:rsidRDefault="00B5522F" w14:paraId="295F505F" w14:textId="44920526">
      <w:pPr>
        <w:spacing w:line="276" w:lineRule="auto"/>
        <w:rPr>
          <w:i/>
        </w:rPr>
      </w:pPr>
      <w:r>
        <w:rPr>
          <w:i/>
        </w:rPr>
        <w:t>The following column headings are for all AMs apart from the W</w:t>
      </w:r>
      <w:r w:rsidR="00321E6B">
        <w:rPr>
          <w:i/>
        </w:rPr>
        <w:t xml:space="preserve">orld </w:t>
      </w:r>
      <w:r>
        <w:rPr>
          <w:i/>
        </w:rPr>
        <w:t>B</w:t>
      </w:r>
      <w:r w:rsidR="00321E6B">
        <w:rPr>
          <w:i/>
        </w:rPr>
        <w:t>ank’s</w:t>
      </w:r>
      <w:r>
        <w:rPr>
          <w:i/>
        </w:rPr>
        <w:t>.</w:t>
      </w:r>
    </w:p>
    <w:p w:rsidR="002D1B46" w:rsidP="00BA7100" w:rsidRDefault="002D1B46" w14:paraId="3B566192" w14:textId="4F5E99CF">
      <w:pPr>
        <w:spacing w:line="276" w:lineRule="auto"/>
      </w:pPr>
      <w:r w:rsidRPr="00564126">
        <w:rPr>
          <w:u w:val="single"/>
        </w:rPr>
        <w:t>Year</w:t>
      </w:r>
      <w:r>
        <w:t xml:space="preserve"> – Calendar year that the case was received by the AM</w:t>
      </w:r>
    </w:p>
    <w:p w:rsidR="00564126" w:rsidP="00BA7100" w:rsidRDefault="00564126" w14:paraId="3B00001C" w14:textId="77777777">
      <w:pPr>
        <w:spacing w:line="276" w:lineRule="auto"/>
      </w:pPr>
    </w:p>
    <w:p w:rsidR="002D1B46" w:rsidP="00BA7100" w:rsidRDefault="002D1B46" w14:paraId="5F6CC54D" w14:textId="7B3F6CFE">
      <w:pPr>
        <w:spacing w:line="276" w:lineRule="auto"/>
      </w:pPr>
      <w:r w:rsidRPr="00564126">
        <w:rPr>
          <w:u w:val="single"/>
        </w:rPr>
        <w:t>Country</w:t>
      </w:r>
      <w:r>
        <w:t xml:space="preserve"> – Country where the project is based</w:t>
      </w:r>
    </w:p>
    <w:p w:rsidR="00564126" w:rsidP="00BA7100" w:rsidRDefault="00564126" w14:paraId="0A10F430" w14:textId="77777777">
      <w:pPr>
        <w:spacing w:line="276" w:lineRule="auto"/>
      </w:pPr>
    </w:p>
    <w:p w:rsidR="002D1B46" w:rsidP="00BA7100" w:rsidRDefault="002D1B46" w14:paraId="6ADA04FE" w14:textId="5B00A356">
      <w:pPr>
        <w:spacing w:line="276" w:lineRule="auto"/>
      </w:pPr>
      <w:r w:rsidRPr="00564126">
        <w:rPr>
          <w:u w:val="single"/>
        </w:rPr>
        <w:t>Case</w:t>
      </w:r>
      <w:r w:rsidR="00987A75">
        <w:rPr>
          <w:u w:val="single"/>
        </w:rPr>
        <w:t xml:space="preserve"> No.</w:t>
      </w:r>
      <w:r>
        <w:t xml:space="preserve"> – Case number </w:t>
      </w:r>
      <w:r w:rsidRPr="002C0ED0">
        <w:t>(</w:t>
      </w:r>
      <w:r w:rsidR="0083099B">
        <w:t xml:space="preserve">this is </w:t>
      </w:r>
      <w:r w:rsidRPr="002C0ED0">
        <w:t>discussed individually for each bank in the following sections)</w:t>
      </w:r>
    </w:p>
    <w:p w:rsidR="00564126" w:rsidP="00BA7100" w:rsidRDefault="00564126" w14:paraId="477489E3" w14:textId="77777777">
      <w:pPr>
        <w:spacing w:line="276" w:lineRule="auto"/>
      </w:pPr>
    </w:p>
    <w:p w:rsidR="002D1B46" w:rsidP="00BA7100" w:rsidRDefault="002D1B46" w14:paraId="04076800" w14:textId="16C3BF2D">
      <w:pPr>
        <w:spacing w:line="276" w:lineRule="auto"/>
      </w:pPr>
      <w:r w:rsidRPr="7B5E5F0B" w:rsidR="002D1B46">
        <w:rPr>
          <w:u w:val="single"/>
        </w:rPr>
        <w:t>Project</w:t>
      </w:r>
      <w:r w:rsidR="002D1B46">
        <w:rPr/>
        <w:t xml:space="preserve"> – Name of the project</w:t>
      </w:r>
      <w:r w:rsidR="00AB5472">
        <w:rPr/>
        <w:t xml:space="preserve"> (an asterisk </w:t>
      </w:r>
      <w:r w:rsidR="00D005ED">
        <w:rPr/>
        <w:t>after</w:t>
      </w:r>
      <w:r w:rsidR="00AB5472">
        <w:rPr/>
        <w:t xml:space="preserve"> the project name indicates a case that was still ongoing as </w:t>
      </w:r>
      <w:proofErr w:type="gramStart"/>
      <w:r w:rsidR="00AB5472">
        <w:rPr/>
        <w:t>at</w:t>
      </w:r>
      <w:proofErr w:type="gramEnd"/>
      <w:r w:rsidR="00AB5472">
        <w:rPr/>
        <w:t xml:space="preserve"> </w:t>
      </w:r>
      <w:r w:rsidR="2DD31DDA">
        <w:rPr/>
        <w:t>19 December</w:t>
      </w:r>
      <w:r w:rsidR="772CE0C3">
        <w:rPr/>
        <w:t xml:space="preserve"> 2022</w:t>
      </w:r>
      <w:r w:rsidR="00AB5472">
        <w:rPr/>
        <w:t>)</w:t>
      </w:r>
    </w:p>
    <w:p w:rsidR="00564126" w:rsidP="00BA7100" w:rsidRDefault="00564126" w14:paraId="5CDAA8FF" w14:textId="77777777">
      <w:pPr>
        <w:spacing w:line="276" w:lineRule="auto"/>
      </w:pPr>
    </w:p>
    <w:p w:rsidR="002D1B46" w:rsidP="00BA7100" w:rsidRDefault="002D1B46" w14:paraId="58889FE0" w14:textId="3634C21B">
      <w:pPr>
        <w:spacing w:line="276" w:lineRule="auto"/>
      </w:pPr>
      <w:r w:rsidRPr="00564126">
        <w:rPr>
          <w:u w:val="single"/>
        </w:rPr>
        <w:t>Eligible</w:t>
      </w:r>
      <w:r>
        <w:t xml:space="preserve"> – </w:t>
      </w:r>
      <w:r w:rsidR="0071726D">
        <w:t>A right arrow (</w:t>
      </w:r>
      <w:r w:rsidRPr="00511833" w:rsidR="0071726D">
        <w:rPr>
          <w:rFonts w:ascii="Wingdings" w:hAnsi="Wingdings"/>
          <w:b/>
          <w:color w:val="000000"/>
        </w:rPr>
        <w:t></w:t>
      </w:r>
      <w:r w:rsidR="0071726D">
        <w:t xml:space="preserve">) </w:t>
      </w:r>
      <w:r w:rsidR="00FE06F8">
        <w:t xml:space="preserve">indicates it was determined eligible </w:t>
      </w:r>
      <w:r w:rsidR="0083099B">
        <w:t>for c</w:t>
      </w:r>
      <w:r w:rsidR="00FC4043">
        <w:t xml:space="preserve">onsultation </w:t>
      </w:r>
      <w:r w:rsidR="00FE06F8">
        <w:t>and mo</w:t>
      </w:r>
      <w:r w:rsidR="0083099B">
        <w:t>ved onto the next stage of the c</w:t>
      </w:r>
      <w:r w:rsidR="00FE06F8">
        <w:t>onsultatio</w:t>
      </w:r>
      <w:r w:rsidR="0083099B">
        <w:t>n p</w:t>
      </w:r>
      <w:r w:rsidR="00296C37">
        <w:t>hase; a number shows it stopped</w:t>
      </w:r>
      <w:r w:rsidR="00FE06F8">
        <w:t xml:space="preserve"> at this stage with the reason(s) corresponding to those indicated in </w:t>
      </w:r>
      <w:r w:rsidR="0071726D">
        <w:t>Section 2.4; a downward arrow (</w:t>
      </w:r>
      <w:r w:rsidRPr="005E1564" w:rsidR="0071726D">
        <w:rPr>
          <w:rFonts w:ascii="Wingdings" w:hAnsi="Wingdings"/>
          <w:b/>
          <w:color w:val="000000"/>
        </w:rPr>
        <w:t></w:t>
      </w:r>
      <w:r w:rsidR="0071726D">
        <w:t>) indicates that the case is ongoing and currently remains in this stage. ‘Not Registered’ indicates the case was not registered with the reason(s) corresponding to those indicated in Section 2.4.</w:t>
      </w:r>
    </w:p>
    <w:p w:rsidR="00564126" w:rsidP="00BA7100" w:rsidRDefault="00564126" w14:paraId="4B922F2E" w14:textId="77777777">
      <w:pPr>
        <w:spacing w:line="276" w:lineRule="auto"/>
      </w:pPr>
    </w:p>
    <w:p w:rsidR="002D1B46" w:rsidP="00BA7100" w:rsidRDefault="002D1B46" w14:paraId="0FDDA7B1" w14:textId="325D7B72">
      <w:pPr>
        <w:spacing w:line="276" w:lineRule="auto"/>
      </w:pPr>
      <w:r w:rsidRPr="00564126">
        <w:rPr>
          <w:u w:val="single"/>
        </w:rPr>
        <w:t>Assessment Period</w:t>
      </w:r>
      <w:r>
        <w:t xml:space="preserve"> – </w:t>
      </w:r>
      <w:r w:rsidR="0071726D">
        <w:t>A right arrow (</w:t>
      </w:r>
      <w:r w:rsidRPr="00511833" w:rsidR="0071726D">
        <w:rPr>
          <w:rFonts w:ascii="Wingdings" w:hAnsi="Wingdings"/>
          <w:b/>
          <w:color w:val="000000"/>
        </w:rPr>
        <w:t></w:t>
      </w:r>
      <w:r w:rsidR="0071726D">
        <w:t xml:space="preserve">) indicates </w:t>
      </w:r>
      <w:r w:rsidR="0014689A">
        <w:t xml:space="preserve">it </w:t>
      </w:r>
      <w:r w:rsidR="00FE06F8">
        <w:t>moved onto t</w:t>
      </w:r>
      <w:r w:rsidR="0083099B">
        <w:t>he next stage of the c</w:t>
      </w:r>
      <w:r w:rsidR="00FE06F8">
        <w:t>onsultatio</w:t>
      </w:r>
      <w:r w:rsidR="0083099B">
        <w:t>n p</w:t>
      </w:r>
      <w:r w:rsidR="00296C37">
        <w:t xml:space="preserve">hase; a number </w:t>
      </w:r>
      <w:r w:rsidRPr="00337D79" w:rsidR="00296C37">
        <w:t>shows it stopped</w:t>
      </w:r>
      <w:r w:rsidRPr="00337D79" w:rsidR="00FE06F8">
        <w:t xml:space="preserve"> at this stage with the reason(s) corresponding to</w:t>
      </w:r>
      <w:r w:rsidR="0071726D">
        <w:t xml:space="preserve"> those indicated in Section 2.4; a downward arrow (</w:t>
      </w:r>
      <w:r w:rsidRPr="005E1564" w:rsidR="0071726D">
        <w:rPr>
          <w:rFonts w:ascii="Wingdings" w:hAnsi="Wingdings"/>
          <w:b/>
          <w:color w:val="000000"/>
        </w:rPr>
        <w:t></w:t>
      </w:r>
      <w:r w:rsidR="0071726D">
        <w:t>) indicates that the case is ongoing and currently remains in this stage.</w:t>
      </w:r>
    </w:p>
    <w:p w:rsidR="00564126" w:rsidP="00BA7100" w:rsidRDefault="00564126" w14:paraId="4228CACE" w14:textId="77777777">
      <w:pPr>
        <w:spacing w:line="276" w:lineRule="auto"/>
      </w:pPr>
    </w:p>
    <w:p w:rsidRPr="00FC4043" w:rsidR="002D1B46" w:rsidP="00BA7100" w:rsidRDefault="002D1B46" w14:paraId="2500E5EC" w14:textId="36F61FB4">
      <w:pPr>
        <w:spacing w:line="276" w:lineRule="auto"/>
      </w:pPr>
      <w:r w:rsidRPr="0014689A">
        <w:rPr>
          <w:u w:val="single"/>
        </w:rPr>
        <w:t>Facilitating Settlement</w:t>
      </w:r>
      <w:r w:rsidRPr="0014689A">
        <w:t xml:space="preserve"> – </w:t>
      </w:r>
      <w:r w:rsidR="0071726D">
        <w:t>A right arrow (</w:t>
      </w:r>
      <w:r w:rsidRPr="00511833" w:rsidR="0071726D">
        <w:rPr>
          <w:rFonts w:ascii="Wingdings" w:hAnsi="Wingdings"/>
          <w:b/>
          <w:color w:val="000000"/>
        </w:rPr>
        <w:t></w:t>
      </w:r>
      <w:r w:rsidR="0071726D">
        <w:t xml:space="preserve">) indicates it moved onto the next stage of the consultation phase; a number </w:t>
      </w:r>
      <w:r w:rsidRPr="00337D79" w:rsidR="0071726D">
        <w:t>shows it stopped at this stage with the reason(s) corresponding to</w:t>
      </w:r>
      <w:r w:rsidR="0071726D">
        <w:t xml:space="preserve"> those indicated in Section 2.4; a downward arrow (</w:t>
      </w:r>
      <w:r w:rsidRPr="005E1564" w:rsidR="0071726D">
        <w:rPr>
          <w:rFonts w:ascii="Wingdings" w:hAnsi="Wingdings"/>
          <w:b/>
          <w:color w:val="000000"/>
        </w:rPr>
        <w:t></w:t>
      </w:r>
      <w:r w:rsidR="0071726D">
        <w:t>) indicates that the case is ongoing and currently remains in this stage.</w:t>
      </w:r>
    </w:p>
    <w:p w:rsidRPr="00564126" w:rsidR="00564126" w:rsidP="00BA7100" w:rsidRDefault="00564126" w14:paraId="06C8D498" w14:textId="77777777">
      <w:pPr>
        <w:spacing w:line="276" w:lineRule="auto"/>
        <w:rPr>
          <w:highlight w:val="yellow"/>
        </w:rPr>
      </w:pPr>
    </w:p>
    <w:p w:rsidR="002D1B46" w:rsidP="00BA7100" w:rsidRDefault="002D1B46" w14:paraId="2461021B" w14:textId="6048585C">
      <w:pPr>
        <w:spacing w:line="276" w:lineRule="auto"/>
      </w:pPr>
      <w:r w:rsidRPr="0014689A">
        <w:rPr>
          <w:u w:val="single"/>
        </w:rPr>
        <w:t>Monitoring/Close-out</w:t>
      </w:r>
      <w:r w:rsidRPr="0014689A">
        <w:t xml:space="preserve"> – </w:t>
      </w:r>
      <w:r w:rsidRPr="0014689A" w:rsidR="00564126">
        <w:t xml:space="preserve">The number </w:t>
      </w:r>
      <w:r w:rsidR="0014689A">
        <w:t xml:space="preserve">shows why the case was closed, with the reason(s) corresponding to those indicated in </w:t>
      </w:r>
      <w:r w:rsidR="0071726D">
        <w:t>Section 2.4; a downward arrow (</w:t>
      </w:r>
      <w:r w:rsidRPr="005E1564" w:rsidR="0071726D">
        <w:rPr>
          <w:rFonts w:ascii="Wingdings" w:hAnsi="Wingdings"/>
          <w:b/>
          <w:color w:val="000000"/>
        </w:rPr>
        <w:t></w:t>
      </w:r>
      <w:r w:rsidR="0071726D">
        <w:t>) indicates that the case is ongoing and currently remains in this stage.</w:t>
      </w:r>
    </w:p>
    <w:p w:rsidR="00564126" w:rsidP="00BA7100" w:rsidRDefault="00564126" w14:paraId="31F92B89" w14:textId="77777777">
      <w:pPr>
        <w:spacing w:line="276" w:lineRule="auto"/>
      </w:pPr>
    </w:p>
    <w:p w:rsidR="002D1B46" w:rsidP="00BA7100" w:rsidRDefault="002D1B46" w14:paraId="2AD0D84F" w14:textId="4649486A">
      <w:pPr>
        <w:spacing w:line="276" w:lineRule="auto"/>
      </w:pPr>
      <w:r w:rsidRPr="00564126">
        <w:rPr>
          <w:u w:val="single"/>
        </w:rPr>
        <w:t>Under Appraisal</w:t>
      </w:r>
      <w:r>
        <w:t xml:space="preserve"> – </w:t>
      </w:r>
      <w:r w:rsidR="0071726D">
        <w:t>A right arrow (</w:t>
      </w:r>
      <w:r w:rsidRPr="00511833" w:rsidR="0071726D">
        <w:rPr>
          <w:rFonts w:ascii="Wingdings" w:hAnsi="Wingdings"/>
          <w:b/>
          <w:color w:val="000000"/>
        </w:rPr>
        <w:t></w:t>
      </w:r>
      <w:r w:rsidR="0071726D">
        <w:t>) i</w:t>
      </w:r>
      <w:r w:rsidR="00564126">
        <w:t xml:space="preserve">ndicates it was determined eligible </w:t>
      </w:r>
      <w:r w:rsidR="00FC4043">
        <w:t xml:space="preserve">for </w:t>
      </w:r>
      <w:r w:rsidR="005C1A59">
        <w:t>compliance i</w:t>
      </w:r>
      <w:r w:rsidR="00FC4043">
        <w:t xml:space="preserve">nvestigation </w:t>
      </w:r>
      <w:r w:rsidR="00564126">
        <w:t>and mo</w:t>
      </w:r>
      <w:r w:rsidR="005C1A59">
        <w:t>ved onto the next stage of the i</w:t>
      </w:r>
      <w:r w:rsidR="00564126">
        <w:t>nvestigatio</w:t>
      </w:r>
      <w:r w:rsidR="005C1A59">
        <w:t>n p</w:t>
      </w:r>
      <w:r w:rsidR="00296C37">
        <w:t xml:space="preserve">hase; a number shows </w:t>
      </w:r>
      <w:r w:rsidR="00296C37">
        <w:lastRenderedPageBreak/>
        <w:t>it stopped</w:t>
      </w:r>
      <w:r w:rsidR="00564126">
        <w:t xml:space="preserve"> at this stage with the reason(s) corresponding to those indicated in </w:t>
      </w:r>
      <w:r w:rsidR="0071726D">
        <w:t>Section 2.4; a downward arrow (</w:t>
      </w:r>
      <w:r w:rsidRPr="005E1564" w:rsidR="0071726D">
        <w:rPr>
          <w:rFonts w:ascii="Wingdings" w:hAnsi="Wingdings"/>
          <w:b/>
          <w:color w:val="000000"/>
        </w:rPr>
        <w:t></w:t>
      </w:r>
      <w:r w:rsidR="0071726D">
        <w:t>) indicates that the case is ongoing and currently remains in this stage.</w:t>
      </w:r>
    </w:p>
    <w:p w:rsidR="00564126" w:rsidP="00BA7100" w:rsidRDefault="00564126" w14:paraId="3F07F36C" w14:textId="77777777">
      <w:pPr>
        <w:spacing w:line="276" w:lineRule="auto"/>
      </w:pPr>
    </w:p>
    <w:p w:rsidR="002D1B46" w:rsidP="00BA7100" w:rsidRDefault="006860B8" w14:paraId="742FE09F" w14:textId="76745243">
      <w:pPr>
        <w:spacing w:line="276" w:lineRule="auto"/>
      </w:pPr>
      <w:r>
        <w:rPr>
          <w:u w:val="single"/>
        </w:rPr>
        <w:t>Investigation</w:t>
      </w:r>
      <w:r w:rsidR="002D1B46">
        <w:t xml:space="preserve"> – </w:t>
      </w:r>
      <w:r w:rsidR="00564126">
        <w:t xml:space="preserve">Shows the instances </w:t>
      </w:r>
      <w:r w:rsidR="005C1A59">
        <w:t>of non-compliance found in the i</w:t>
      </w:r>
      <w:r w:rsidR="00564126">
        <w:t xml:space="preserve">nvestigation, corresponding to those indicated </w:t>
      </w:r>
      <w:r w:rsidR="0071726D">
        <w:t>in Section 2.5; a downward arrow (</w:t>
      </w:r>
      <w:r w:rsidRPr="005E1564" w:rsidR="0071726D">
        <w:rPr>
          <w:rFonts w:ascii="Wingdings" w:hAnsi="Wingdings"/>
          <w:b/>
          <w:color w:val="000000"/>
        </w:rPr>
        <w:t></w:t>
      </w:r>
      <w:r w:rsidR="0071726D">
        <w:t>) indicates that the case is ongoing and currently remains in this stage.</w:t>
      </w:r>
    </w:p>
    <w:p w:rsidR="00564126" w:rsidP="00BA7100" w:rsidRDefault="00564126" w14:paraId="2F12491B" w14:textId="77777777">
      <w:pPr>
        <w:spacing w:line="276" w:lineRule="auto"/>
      </w:pPr>
    </w:p>
    <w:p w:rsidR="002D1B46" w:rsidP="00BA7100" w:rsidRDefault="002D1B46" w14:paraId="6A49D3DC" w14:textId="75325EF7">
      <w:pPr>
        <w:spacing w:line="276" w:lineRule="auto"/>
      </w:pPr>
      <w:r w:rsidRPr="00564126">
        <w:rPr>
          <w:u w:val="single"/>
        </w:rPr>
        <w:t>Monitoring</w:t>
      </w:r>
      <w:r>
        <w:t xml:space="preserve"> – </w:t>
      </w:r>
      <w:r w:rsidR="00564126">
        <w:t>The number of monitoring reports that were published publicly</w:t>
      </w:r>
      <w:r w:rsidR="0014689A">
        <w:t xml:space="preserve"> after the </w:t>
      </w:r>
      <w:r w:rsidR="005C1A59">
        <w:t>investigation r</w:t>
      </w:r>
      <w:r w:rsidR="0014689A">
        <w:t>eport</w:t>
      </w:r>
      <w:r w:rsidR="005C1A59">
        <w:t xml:space="preserve"> to assess whether the Bank had become policy compliant</w:t>
      </w:r>
      <w:r w:rsidR="0071726D">
        <w:t>; a downward arrow (</w:t>
      </w:r>
      <w:r w:rsidRPr="005E1564" w:rsidR="0071726D">
        <w:rPr>
          <w:rFonts w:ascii="Wingdings" w:hAnsi="Wingdings"/>
          <w:b/>
          <w:color w:val="000000"/>
        </w:rPr>
        <w:t></w:t>
      </w:r>
      <w:r w:rsidR="0071726D">
        <w:t>) indicates that the case is ongoing and currently remains in this stage.</w:t>
      </w:r>
    </w:p>
    <w:p w:rsidR="002C0ED0" w:rsidP="00BA7100" w:rsidRDefault="002C0ED0" w14:paraId="56AD4FE6" w14:textId="77777777">
      <w:pPr>
        <w:spacing w:line="276" w:lineRule="auto"/>
      </w:pPr>
    </w:p>
    <w:p w:rsidR="00564126" w:rsidP="00564126" w:rsidRDefault="00564126" w14:paraId="29ED9057" w14:textId="647CEF00">
      <w:pPr>
        <w:spacing w:line="276" w:lineRule="auto"/>
        <w:rPr>
          <w:b/>
          <w:i/>
        </w:rPr>
      </w:pPr>
      <w:r>
        <w:rPr>
          <w:b/>
          <w:i/>
        </w:rPr>
        <w:t>2.4</w:t>
      </w:r>
      <w:r w:rsidRPr="00C64617">
        <w:rPr>
          <w:b/>
          <w:i/>
        </w:rPr>
        <w:t xml:space="preserve">. </w:t>
      </w:r>
      <w:r w:rsidR="009D4467">
        <w:rPr>
          <w:b/>
          <w:i/>
        </w:rPr>
        <w:t xml:space="preserve">Reasons for Non-Registration and </w:t>
      </w:r>
      <w:r>
        <w:rPr>
          <w:b/>
          <w:i/>
        </w:rPr>
        <w:t>Non-Investigation</w:t>
      </w:r>
    </w:p>
    <w:p w:rsidR="001F40D7" w:rsidP="00564126" w:rsidRDefault="009D4467" w14:paraId="603668EE" w14:textId="64CF3A1F">
      <w:pPr>
        <w:spacing w:line="276" w:lineRule="auto"/>
      </w:pPr>
      <w:r>
        <w:t>The reasons</w:t>
      </w:r>
      <w:r w:rsidR="005C1A59">
        <w:t xml:space="preserve"> for either not registering a case as valid or for not investigating the case are detailed</w:t>
      </w:r>
      <w:r>
        <w:t xml:space="preserve"> below</w:t>
      </w:r>
      <w:r w:rsidR="005C1A59">
        <w:t>. These were derived from the reasons</w:t>
      </w:r>
      <w:r>
        <w:t xml:space="preserve"> given by the </w:t>
      </w:r>
      <w:r w:rsidR="00556B70">
        <w:t xml:space="preserve">AMs </w:t>
      </w:r>
      <w:r w:rsidR="005C1A59">
        <w:t>acco</w:t>
      </w:r>
      <w:r w:rsidR="00522855">
        <w:t>rding to publicly available data</w:t>
      </w:r>
      <w:r w:rsidR="005C1A59">
        <w:t>. They were categorised into the following 23 reasons by the author to assist with analysing the decisions made by the AMs</w:t>
      </w:r>
      <w:r>
        <w:t>.</w:t>
      </w:r>
    </w:p>
    <w:p w:rsidRPr="009D4467" w:rsidR="00321E6B" w:rsidP="00564126" w:rsidRDefault="00321E6B" w14:paraId="7CF5919F" w14:textId="77777777">
      <w:pPr>
        <w:spacing w:line="276" w:lineRule="auto"/>
      </w:pPr>
    </w:p>
    <w:tbl>
      <w:tblPr>
        <w:tblStyle w:val="TableGrid"/>
        <w:tblW w:w="0" w:type="auto"/>
        <w:tblLook w:val="04A0" w:firstRow="1" w:lastRow="0" w:firstColumn="1" w:lastColumn="0" w:noHBand="0" w:noVBand="1"/>
      </w:tblPr>
      <w:tblGrid>
        <w:gridCol w:w="572"/>
        <w:gridCol w:w="8482"/>
      </w:tblGrid>
      <w:tr w:rsidR="00564126" w:rsidTr="000305F2" w14:paraId="2B7B8D17" w14:textId="77777777">
        <w:tc>
          <w:tcPr>
            <w:tcW w:w="534" w:type="dxa"/>
          </w:tcPr>
          <w:p w:rsidRPr="00564126" w:rsidR="00564126" w:rsidP="00564126" w:rsidRDefault="00564126" w14:paraId="31FE66E6" w14:textId="3DE0868B">
            <w:pPr>
              <w:spacing w:line="276" w:lineRule="auto"/>
              <w:rPr>
                <w:b/>
              </w:rPr>
            </w:pPr>
            <w:r w:rsidRPr="00564126">
              <w:rPr>
                <w:b/>
              </w:rPr>
              <w:t>No.</w:t>
            </w:r>
          </w:p>
        </w:tc>
        <w:tc>
          <w:tcPr>
            <w:tcW w:w="8746" w:type="dxa"/>
          </w:tcPr>
          <w:p w:rsidRPr="00564126" w:rsidR="00564126" w:rsidP="00564126" w:rsidRDefault="00564126" w14:paraId="07BE52CF" w14:textId="69965E81">
            <w:pPr>
              <w:spacing w:line="276" w:lineRule="auto"/>
              <w:rPr>
                <w:b/>
              </w:rPr>
            </w:pPr>
            <w:r w:rsidRPr="00564126">
              <w:rPr>
                <w:b/>
              </w:rPr>
              <w:t>Reason</w:t>
            </w:r>
          </w:p>
        </w:tc>
      </w:tr>
      <w:tr w:rsidR="00564126" w:rsidTr="000305F2" w14:paraId="301EE98A" w14:textId="77777777">
        <w:tc>
          <w:tcPr>
            <w:tcW w:w="534" w:type="dxa"/>
          </w:tcPr>
          <w:p w:rsidR="00564126" w:rsidP="009D4467" w:rsidRDefault="00564126" w14:paraId="508F2BD6" w14:textId="591BCA7D">
            <w:pPr>
              <w:spacing w:line="276" w:lineRule="auto"/>
              <w:jc w:val="center"/>
            </w:pPr>
            <w:r>
              <w:t>1</w:t>
            </w:r>
          </w:p>
        </w:tc>
        <w:tc>
          <w:tcPr>
            <w:tcW w:w="8746" w:type="dxa"/>
          </w:tcPr>
          <w:p w:rsidR="00564126" w:rsidP="00564126" w:rsidRDefault="00564126" w14:paraId="1F919C1E" w14:textId="10477918">
            <w:pPr>
              <w:spacing w:line="276" w:lineRule="auto"/>
            </w:pPr>
            <w:r w:rsidRPr="00564126">
              <w:rPr>
                <w:lang w:val="en-AU"/>
              </w:rPr>
              <w:t>In</w:t>
            </w:r>
            <w:r w:rsidR="009D4467">
              <w:rPr>
                <w:lang w:val="en-AU"/>
              </w:rPr>
              <w:t>sufficient evidence of harm/harm not caused by the Project/</w:t>
            </w:r>
            <w:r w:rsidRPr="00564126">
              <w:rPr>
                <w:lang w:val="en-AU"/>
              </w:rPr>
              <w:t>harm not caused by violation of policies.</w:t>
            </w:r>
          </w:p>
        </w:tc>
      </w:tr>
      <w:tr w:rsidR="00564126" w:rsidTr="000305F2" w14:paraId="190D41B1" w14:textId="77777777">
        <w:tc>
          <w:tcPr>
            <w:tcW w:w="534" w:type="dxa"/>
          </w:tcPr>
          <w:p w:rsidR="00564126" w:rsidP="009D4467" w:rsidRDefault="00564126" w14:paraId="2CF22747" w14:textId="1A341539">
            <w:pPr>
              <w:spacing w:line="276" w:lineRule="auto"/>
              <w:jc w:val="center"/>
            </w:pPr>
            <w:r>
              <w:t>2</w:t>
            </w:r>
          </w:p>
        </w:tc>
        <w:tc>
          <w:tcPr>
            <w:tcW w:w="8746" w:type="dxa"/>
          </w:tcPr>
          <w:p w:rsidR="00564126" w:rsidP="00564126" w:rsidRDefault="00137A15" w14:paraId="60D9A7F5" w14:textId="253D974A">
            <w:pPr>
              <w:spacing w:line="276" w:lineRule="auto"/>
            </w:pPr>
            <w:r w:rsidRPr="00137A15">
              <w:rPr>
                <w:lang w:val="en-AU"/>
              </w:rPr>
              <w:t>Actions are underway/have been completed to adequately address the issues.</w:t>
            </w:r>
          </w:p>
        </w:tc>
      </w:tr>
      <w:tr w:rsidR="00564126" w:rsidTr="000305F2" w14:paraId="1E7896A3" w14:textId="77777777">
        <w:tc>
          <w:tcPr>
            <w:tcW w:w="534" w:type="dxa"/>
          </w:tcPr>
          <w:p w:rsidR="00564126" w:rsidP="009D4467" w:rsidRDefault="00564126" w14:paraId="2C9DD50E" w14:textId="5B1EF031">
            <w:pPr>
              <w:spacing w:line="276" w:lineRule="auto"/>
              <w:jc w:val="center"/>
            </w:pPr>
            <w:r>
              <w:t>3</w:t>
            </w:r>
          </w:p>
        </w:tc>
        <w:tc>
          <w:tcPr>
            <w:tcW w:w="8746" w:type="dxa"/>
          </w:tcPr>
          <w:p w:rsidR="00564126" w:rsidP="009D4467" w:rsidRDefault="00137A15" w14:paraId="3E0344F1" w14:textId="161933B5">
            <w:pPr>
              <w:spacing w:line="276" w:lineRule="auto"/>
            </w:pPr>
            <w:r w:rsidRPr="00137A15">
              <w:rPr>
                <w:lang w:val="en-AU"/>
              </w:rPr>
              <w:t>Parties indicated lack of willingness to engage/continue in a colla</w:t>
            </w:r>
            <w:r>
              <w:rPr>
                <w:lang w:val="en-AU"/>
              </w:rPr>
              <w:t>borative consultation process (3</w:t>
            </w:r>
            <w:r w:rsidRPr="00137A15">
              <w:rPr>
                <w:lang w:val="en-AU"/>
              </w:rPr>
              <w:t>b=</w:t>
            </w:r>
            <w:r w:rsidR="00497837">
              <w:rPr>
                <w:lang w:val="en-AU"/>
              </w:rPr>
              <w:t>B</w:t>
            </w:r>
            <w:r>
              <w:rPr>
                <w:lang w:val="en-AU"/>
              </w:rPr>
              <w:t xml:space="preserve">orrowers were not </w:t>
            </w:r>
            <w:r w:rsidR="009D4467">
              <w:rPr>
                <w:lang w:val="en-AU"/>
              </w:rPr>
              <w:t>willing</w:t>
            </w:r>
            <w:r>
              <w:rPr>
                <w:lang w:val="en-AU"/>
              </w:rPr>
              <w:t>, 3</w:t>
            </w:r>
            <w:r w:rsidR="00497837">
              <w:rPr>
                <w:lang w:val="en-AU"/>
              </w:rPr>
              <w:t>r=Requesto</w:t>
            </w:r>
            <w:r w:rsidRPr="00137A15">
              <w:rPr>
                <w:lang w:val="en-AU"/>
              </w:rPr>
              <w:t xml:space="preserve">rs were not </w:t>
            </w:r>
            <w:r w:rsidR="009D4467">
              <w:rPr>
                <w:lang w:val="en-AU"/>
              </w:rPr>
              <w:t>willing</w:t>
            </w:r>
            <w:r>
              <w:rPr>
                <w:lang w:val="en-AU"/>
              </w:rPr>
              <w:t xml:space="preserve">, 3br=neither party was </w:t>
            </w:r>
            <w:r w:rsidR="009D4467">
              <w:rPr>
                <w:lang w:val="en-AU"/>
              </w:rPr>
              <w:t>willing</w:t>
            </w:r>
            <w:r w:rsidRPr="00137A15">
              <w:rPr>
                <w:lang w:val="en-AU"/>
              </w:rPr>
              <w:t>).</w:t>
            </w:r>
          </w:p>
        </w:tc>
      </w:tr>
      <w:tr w:rsidR="00564126" w:rsidTr="000305F2" w14:paraId="1647EC64" w14:textId="77777777">
        <w:tc>
          <w:tcPr>
            <w:tcW w:w="534" w:type="dxa"/>
          </w:tcPr>
          <w:p w:rsidR="00564126" w:rsidP="009D4467" w:rsidRDefault="00564126" w14:paraId="1337B0D4" w14:textId="4CF16263">
            <w:pPr>
              <w:spacing w:line="276" w:lineRule="auto"/>
              <w:jc w:val="center"/>
            </w:pPr>
            <w:r>
              <w:t>4</w:t>
            </w:r>
          </w:p>
        </w:tc>
        <w:tc>
          <w:tcPr>
            <w:tcW w:w="8746" w:type="dxa"/>
          </w:tcPr>
          <w:p w:rsidR="00564126" w:rsidP="00564126" w:rsidRDefault="00137A15" w14:paraId="5A875EAD" w14:textId="0D2DE7D4">
            <w:pPr>
              <w:spacing w:line="276" w:lineRule="auto"/>
            </w:pPr>
            <w:r w:rsidRPr="00137A15">
              <w:rPr>
                <w:lang w:val="en-AU"/>
              </w:rPr>
              <w:t>Not within the mandate of t</w:t>
            </w:r>
            <w:r>
              <w:rPr>
                <w:lang w:val="en-AU"/>
              </w:rPr>
              <w:t xml:space="preserve">he mechanism (and/or relates to </w:t>
            </w:r>
            <w:r w:rsidR="009D4467">
              <w:rPr>
                <w:lang w:val="en-AU"/>
              </w:rPr>
              <w:t xml:space="preserve">fraud, ethics, </w:t>
            </w:r>
            <w:r w:rsidRPr="00137A15">
              <w:rPr>
                <w:lang w:val="en-AU"/>
              </w:rPr>
              <w:t>corruption, personnel matters, or procurement).</w:t>
            </w:r>
          </w:p>
        </w:tc>
      </w:tr>
      <w:tr w:rsidR="00564126" w:rsidTr="000305F2" w14:paraId="3E5D1A3A" w14:textId="77777777">
        <w:tc>
          <w:tcPr>
            <w:tcW w:w="534" w:type="dxa"/>
          </w:tcPr>
          <w:p w:rsidR="00564126" w:rsidP="009D4467" w:rsidRDefault="00564126" w14:paraId="60446E20" w14:textId="635860F4">
            <w:pPr>
              <w:spacing w:line="276" w:lineRule="auto"/>
              <w:jc w:val="center"/>
            </w:pPr>
            <w:r>
              <w:t>5</w:t>
            </w:r>
          </w:p>
        </w:tc>
        <w:tc>
          <w:tcPr>
            <w:tcW w:w="8746" w:type="dxa"/>
          </w:tcPr>
          <w:p w:rsidR="00564126" w:rsidP="00564126" w:rsidRDefault="00137A15" w14:paraId="3C41AB80" w14:textId="7B507225">
            <w:pPr>
              <w:spacing w:line="276" w:lineRule="auto"/>
            </w:pPr>
            <w:r w:rsidRPr="00137A15">
              <w:rPr>
                <w:lang w:val="en-AU"/>
              </w:rPr>
              <w:t>Bank is not/not yet/no longer financing the Project.</w:t>
            </w:r>
          </w:p>
        </w:tc>
      </w:tr>
      <w:tr w:rsidR="00564126" w:rsidTr="000305F2" w14:paraId="144524D1" w14:textId="77777777">
        <w:tc>
          <w:tcPr>
            <w:tcW w:w="534" w:type="dxa"/>
          </w:tcPr>
          <w:p w:rsidR="00564126" w:rsidP="009D4467" w:rsidRDefault="00564126" w14:paraId="14C3FCEA" w14:textId="508C6D8C">
            <w:pPr>
              <w:spacing w:line="276" w:lineRule="auto"/>
              <w:jc w:val="center"/>
            </w:pPr>
            <w:r>
              <w:t>6</w:t>
            </w:r>
          </w:p>
        </w:tc>
        <w:tc>
          <w:tcPr>
            <w:tcW w:w="8746" w:type="dxa"/>
          </w:tcPr>
          <w:p w:rsidR="00564126" w:rsidP="00564126" w:rsidRDefault="00137A15" w14:paraId="3DCA4851" w14:textId="7D6ABF83">
            <w:pPr>
              <w:spacing w:line="276" w:lineRule="auto"/>
            </w:pPr>
            <w:r w:rsidRPr="00D005ED">
              <w:rPr>
                <w:lang w:val="en-AU"/>
              </w:rPr>
              <w:t>Investigation would yield limited information and/or be of limited value/the project has not identified issues of systemic importance/raised substantial concerns regarding environmental and social outcomes that would warrant an investigation.</w:t>
            </w:r>
          </w:p>
        </w:tc>
      </w:tr>
      <w:tr w:rsidR="00564126" w:rsidTr="000305F2" w14:paraId="13E634B7" w14:textId="77777777">
        <w:tc>
          <w:tcPr>
            <w:tcW w:w="534" w:type="dxa"/>
          </w:tcPr>
          <w:p w:rsidR="00564126" w:rsidP="009D4467" w:rsidRDefault="00564126" w14:paraId="3BA23427" w14:textId="48B47D2A">
            <w:pPr>
              <w:spacing w:line="276" w:lineRule="auto"/>
              <w:jc w:val="center"/>
            </w:pPr>
            <w:r>
              <w:t>7</w:t>
            </w:r>
          </w:p>
        </w:tc>
        <w:tc>
          <w:tcPr>
            <w:tcW w:w="8746" w:type="dxa"/>
          </w:tcPr>
          <w:p w:rsidR="00564126" w:rsidP="00564126" w:rsidRDefault="00497837" w14:paraId="58B787EB" w14:textId="6588817F">
            <w:pPr>
              <w:spacing w:line="276" w:lineRule="auto"/>
            </w:pPr>
            <w:r>
              <w:rPr>
                <w:lang w:val="en-AU"/>
              </w:rPr>
              <w:t>Requestor</w:t>
            </w:r>
            <w:r w:rsidR="009D4467">
              <w:rPr>
                <w:lang w:val="en-AU"/>
              </w:rPr>
              <w:t>s</w:t>
            </w:r>
            <w:r w:rsidRPr="00137A15" w:rsidR="00137A15">
              <w:rPr>
                <w:lang w:val="en-AU"/>
              </w:rPr>
              <w:t xml:space="preserve"> have not raised the issue(s) with Management</w:t>
            </w:r>
          </w:p>
        </w:tc>
      </w:tr>
      <w:tr w:rsidR="00564126" w:rsidTr="000305F2" w14:paraId="7EB26AF5" w14:textId="77777777">
        <w:tc>
          <w:tcPr>
            <w:tcW w:w="534" w:type="dxa"/>
          </w:tcPr>
          <w:p w:rsidR="00564126" w:rsidP="009D4467" w:rsidRDefault="00564126" w14:paraId="01810B01" w14:textId="4F32893A">
            <w:pPr>
              <w:spacing w:line="276" w:lineRule="auto"/>
              <w:jc w:val="center"/>
            </w:pPr>
            <w:r>
              <w:t>8</w:t>
            </w:r>
          </w:p>
        </w:tc>
        <w:tc>
          <w:tcPr>
            <w:tcW w:w="8746" w:type="dxa"/>
          </w:tcPr>
          <w:p w:rsidR="00564126" w:rsidP="00564126" w:rsidRDefault="00137A15" w14:paraId="4E8FD385" w14:textId="0BD65990">
            <w:pPr>
              <w:spacing w:line="276" w:lineRule="auto"/>
            </w:pPr>
            <w:r w:rsidRPr="00137A15">
              <w:rPr>
                <w:lang w:val="en-AU"/>
              </w:rPr>
              <w:t>Parties reached a settlement agreement.</w:t>
            </w:r>
          </w:p>
        </w:tc>
      </w:tr>
      <w:tr w:rsidR="00564126" w:rsidTr="000305F2" w14:paraId="63DF452B" w14:textId="77777777">
        <w:tc>
          <w:tcPr>
            <w:tcW w:w="534" w:type="dxa"/>
          </w:tcPr>
          <w:p w:rsidR="00564126" w:rsidP="009D4467" w:rsidRDefault="00564126" w14:paraId="1DBE35E9" w14:textId="60C74F29">
            <w:pPr>
              <w:spacing w:line="276" w:lineRule="auto"/>
              <w:jc w:val="center"/>
            </w:pPr>
            <w:r>
              <w:t>9</w:t>
            </w:r>
          </w:p>
        </w:tc>
        <w:tc>
          <w:tcPr>
            <w:tcW w:w="8746" w:type="dxa"/>
          </w:tcPr>
          <w:p w:rsidR="00564126" w:rsidP="009D4467" w:rsidRDefault="009D4467" w14:paraId="2526FDB1" w14:textId="02D66489">
            <w:pPr>
              <w:spacing w:line="276" w:lineRule="auto"/>
            </w:pPr>
            <w:r>
              <w:rPr>
                <w:lang w:val="en-AU"/>
              </w:rPr>
              <w:t>AM</w:t>
            </w:r>
            <w:r w:rsidRPr="00137A15" w:rsidR="00137A15">
              <w:rPr>
                <w:lang w:val="en-AU"/>
              </w:rPr>
              <w:t xml:space="preserve"> does not believe it could play any further useful role and/or unable to help the parties reach </w:t>
            </w:r>
            <w:r w:rsidRPr="009D4467" w:rsidR="00137A15">
              <w:rPr>
                <w:u w:val="single"/>
                <w:lang w:val="en-AU"/>
              </w:rPr>
              <w:t>full</w:t>
            </w:r>
            <w:r>
              <w:rPr>
                <w:lang w:val="en-AU"/>
              </w:rPr>
              <w:t xml:space="preserve"> agreement (</w:t>
            </w:r>
            <w:proofErr w:type="gramStart"/>
            <w:r>
              <w:rPr>
                <w:lang w:val="en-AU"/>
              </w:rPr>
              <w:t>i.e.</w:t>
            </w:r>
            <w:proofErr w:type="gramEnd"/>
            <w:r>
              <w:rPr>
                <w:lang w:val="en-AU"/>
              </w:rPr>
              <w:t xml:space="preserve"> this includes cases where partial agreement was reached by the parties).</w:t>
            </w:r>
          </w:p>
        </w:tc>
      </w:tr>
      <w:tr w:rsidR="00564126" w:rsidTr="000305F2" w14:paraId="048D2E90" w14:textId="77777777">
        <w:tc>
          <w:tcPr>
            <w:tcW w:w="534" w:type="dxa"/>
          </w:tcPr>
          <w:p w:rsidR="00564126" w:rsidP="009D4467" w:rsidRDefault="00564126" w14:paraId="076D629C" w14:textId="5934B09C">
            <w:pPr>
              <w:spacing w:line="276" w:lineRule="auto"/>
              <w:jc w:val="center"/>
            </w:pPr>
            <w:r>
              <w:t>10</w:t>
            </w:r>
          </w:p>
        </w:tc>
        <w:tc>
          <w:tcPr>
            <w:tcW w:w="8746" w:type="dxa"/>
          </w:tcPr>
          <w:p w:rsidR="00564126" w:rsidP="00556B70" w:rsidRDefault="00137A15" w14:paraId="0A6CA1F0" w14:textId="54B7A422">
            <w:pPr>
              <w:spacing w:line="276" w:lineRule="auto"/>
            </w:pPr>
            <w:r w:rsidRPr="00137A15">
              <w:rPr>
                <w:lang w:val="en-AU"/>
              </w:rPr>
              <w:t>Loan has already been disb</w:t>
            </w:r>
            <w:r w:rsidR="009D4467">
              <w:rPr>
                <w:lang w:val="en-AU"/>
              </w:rPr>
              <w:t>ursed beyond the threshold for c</w:t>
            </w:r>
            <w:r w:rsidRPr="00137A15">
              <w:rPr>
                <w:lang w:val="en-AU"/>
              </w:rPr>
              <w:t>omplaint</w:t>
            </w:r>
            <w:r w:rsidR="00546F7A">
              <w:rPr>
                <w:lang w:val="en-AU"/>
              </w:rPr>
              <w:t xml:space="preserve"> (note</w:t>
            </w:r>
            <w:r w:rsidR="009D4467">
              <w:rPr>
                <w:lang w:val="en-AU"/>
              </w:rPr>
              <w:t xml:space="preserve"> this threshold varies </w:t>
            </w:r>
            <w:r w:rsidR="00556B70">
              <w:rPr>
                <w:lang w:val="en-AU"/>
              </w:rPr>
              <w:t>from</w:t>
            </w:r>
            <w:r w:rsidR="009D4467">
              <w:rPr>
                <w:lang w:val="en-AU"/>
              </w:rPr>
              <w:t xml:space="preserve"> bank</w:t>
            </w:r>
            <w:r w:rsidR="00556B70">
              <w:rPr>
                <w:lang w:val="en-AU"/>
              </w:rPr>
              <w:t xml:space="preserve"> to bank</w:t>
            </w:r>
            <w:r w:rsidR="009D4467">
              <w:rPr>
                <w:lang w:val="en-AU"/>
              </w:rPr>
              <w:t>)</w:t>
            </w:r>
            <w:r w:rsidRPr="00137A15">
              <w:rPr>
                <w:lang w:val="en-AU"/>
              </w:rPr>
              <w:t>.</w:t>
            </w:r>
            <w:r w:rsidR="009D4467">
              <w:rPr>
                <w:lang w:val="en-AU"/>
              </w:rPr>
              <w:t xml:space="preserve"> </w:t>
            </w:r>
          </w:p>
        </w:tc>
      </w:tr>
      <w:tr w:rsidR="00564126" w:rsidTr="000305F2" w14:paraId="0C76A494" w14:textId="77777777">
        <w:tc>
          <w:tcPr>
            <w:tcW w:w="534" w:type="dxa"/>
          </w:tcPr>
          <w:p w:rsidR="00564126" w:rsidP="009D4467" w:rsidRDefault="00564126" w14:paraId="373FEA88" w14:textId="55682CE8">
            <w:pPr>
              <w:spacing w:line="276" w:lineRule="auto"/>
              <w:jc w:val="center"/>
            </w:pPr>
            <w:r>
              <w:t>11</w:t>
            </w:r>
          </w:p>
        </w:tc>
        <w:tc>
          <w:tcPr>
            <w:tcW w:w="8746" w:type="dxa"/>
          </w:tcPr>
          <w:p w:rsidR="00564126" w:rsidP="009D4467" w:rsidRDefault="00497837" w14:paraId="2A15414B" w14:textId="73B91EE6">
            <w:pPr>
              <w:spacing w:line="276" w:lineRule="auto"/>
            </w:pPr>
            <w:r>
              <w:rPr>
                <w:lang w:val="en-AU"/>
              </w:rPr>
              <w:t>Requesto</w:t>
            </w:r>
            <w:r w:rsidR="009D4467">
              <w:rPr>
                <w:lang w:val="en-AU"/>
              </w:rPr>
              <w:t>rs</w:t>
            </w:r>
            <w:r w:rsidRPr="00137A15" w:rsidR="00137A15">
              <w:rPr>
                <w:lang w:val="en-AU"/>
              </w:rPr>
              <w:t xml:space="preserve"> indicated s</w:t>
            </w:r>
            <w:r w:rsidR="009D4467">
              <w:rPr>
                <w:lang w:val="en-AU"/>
              </w:rPr>
              <w:t xml:space="preserve">atisfaction with the outcome/withdrew the request/ </w:t>
            </w:r>
            <w:r w:rsidRPr="00137A15" w:rsidR="00137A15">
              <w:rPr>
                <w:lang w:val="en-AU"/>
              </w:rPr>
              <w:t xml:space="preserve">requested </w:t>
            </w:r>
            <w:r w:rsidR="009D4467">
              <w:rPr>
                <w:lang w:val="en-AU"/>
              </w:rPr>
              <w:t>that the AM close the case</w:t>
            </w:r>
            <w:r w:rsidRPr="00137A15" w:rsidR="00137A15">
              <w:rPr>
                <w:lang w:val="en-AU"/>
              </w:rPr>
              <w:t>.</w:t>
            </w:r>
          </w:p>
        </w:tc>
      </w:tr>
      <w:tr w:rsidR="00564126" w:rsidTr="000305F2" w14:paraId="1C9D160F" w14:textId="77777777">
        <w:tc>
          <w:tcPr>
            <w:tcW w:w="534" w:type="dxa"/>
          </w:tcPr>
          <w:p w:rsidR="00564126" w:rsidP="009D4467" w:rsidRDefault="00564126" w14:paraId="3E947C6F" w14:textId="188FB120">
            <w:pPr>
              <w:spacing w:line="276" w:lineRule="auto"/>
              <w:jc w:val="center"/>
            </w:pPr>
            <w:r>
              <w:lastRenderedPageBreak/>
              <w:t>12</w:t>
            </w:r>
          </w:p>
        </w:tc>
        <w:tc>
          <w:tcPr>
            <w:tcW w:w="8746" w:type="dxa"/>
          </w:tcPr>
          <w:p w:rsidR="00564126" w:rsidP="00564126" w:rsidRDefault="00556B70" w14:paraId="617690C7" w14:textId="7454AE12">
            <w:pPr>
              <w:spacing w:line="276" w:lineRule="auto"/>
            </w:pPr>
            <w:r>
              <w:rPr>
                <w:lang w:val="en-AU"/>
              </w:rPr>
              <w:t>The m</w:t>
            </w:r>
            <w:r w:rsidRPr="00137A15" w:rsidR="00137A15">
              <w:rPr>
                <w:lang w:val="en-AU"/>
              </w:rPr>
              <w:t>atter is already being reviewed/has already been rev</w:t>
            </w:r>
            <w:r w:rsidR="009D4467">
              <w:rPr>
                <w:lang w:val="en-AU"/>
              </w:rPr>
              <w:t>iewed pursuant to the Mechanism</w:t>
            </w:r>
            <w:r w:rsidRPr="00137A15" w:rsidR="00137A15">
              <w:rPr>
                <w:lang w:val="en-AU"/>
              </w:rPr>
              <w:t xml:space="preserve"> or its predecessor</w:t>
            </w:r>
            <w:r w:rsidR="007803EA">
              <w:rPr>
                <w:lang w:val="en-AU"/>
              </w:rPr>
              <w:t>; and/or matter consolidated with another case on the same subject.</w:t>
            </w:r>
          </w:p>
        </w:tc>
      </w:tr>
      <w:tr w:rsidR="00564126" w:rsidTr="000305F2" w14:paraId="67631E6B" w14:textId="77777777">
        <w:tc>
          <w:tcPr>
            <w:tcW w:w="534" w:type="dxa"/>
          </w:tcPr>
          <w:p w:rsidR="00564126" w:rsidP="009D4467" w:rsidRDefault="00564126" w14:paraId="51640947" w14:textId="5B8AE13B">
            <w:pPr>
              <w:spacing w:line="276" w:lineRule="auto"/>
              <w:jc w:val="center"/>
            </w:pPr>
            <w:r>
              <w:t>13</w:t>
            </w:r>
          </w:p>
        </w:tc>
        <w:tc>
          <w:tcPr>
            <w:tcW w:w="8746" w:type="dxa"/>
          </w:tcPr>
          <w:p w:rsidR="00564126" w:rsidP="009D4467" w:rsidRDefault="009D4467" w14:paraId="05C4BBBE" w14:textId="7C43C422">
            <w:pPr>
              <w:spacing w:line="276" w:lineRule="auto"/>
            </w:pPr>
            <w:r>
              <w:rPr>
                <w:lang w:val="en-AU"/>
              </w:rPr>
              <w:t>Request</w:t>
            </w:r>
            <w:r w:rsidRPr="00137A15" w:rsidR="00137A15">
              <w:rPr>
                <w:lang w:val="en-AU"/>
              </w:rPr>
              <w:t xml:space="preserve"> was determined </w:t>
            </w:r>
            <w:r w:rsidRPr="00137A15" w:rsidR="000305F2">
              <w:rPr>
                <w:lang w:val="en-AU"/>
              </w:rPr>
              <w:t>eligible,</w:t>
            </w:r>
            <w:r w:rsidRPr="00137A15" w:rsidR="00137A15">
              <w:rPr>
                <w:lang w:val="en-AU"/>
              </w:rPr>
              <w:t xml:space="preserve"> but the Board did not approve the recommendation for an Investigation.</w:t>
            </w:r>
          </w:p>
        </w:tc>
      </w:tr>
      <w:tr w:rsidR="00564126" w:rsidTr="000305F2" w14:paraId="73B8FD01" w14:textId="77777777">
        <w:tc>
          <w:tcPr>
            <w:tcW w:w="534" w:type="dxa"/>
          </w:tcPr>
          <w:p w:rsidR="00564126" w:rsidP="009D4467" w:rsidRDefault="00564126" w14:paraId="6092EA20" w14:textId="79EF6EA5">
            <w:pPr>
              <w:spacing w:line="276" w:lineRule="auto"/>
              <w:jc w:val="center"/>
            </w:pPr>
            <w:r>
              <w:t>14</w:t>
            </w:r>
          </w:p>
        </w:tc>
        <w:tc>
          <w:tcPr>
            <w:tcW w:w="8746" w:type="dxa"/>
          </w:tcPr>
          <w:p w:rsidR="00564126" w:rsidP="00564126" w:rsidRDefault="00137A15" w14:paraId="7F2CC61B" w14:textId="38BB67D4">
            <w:pPr>
              <w:spacing w:line="276" w:lineRule="auto"/>
            </w:pPr>
            <w:r w:rsidRPr="00137A15">
              <w:rPr>
                <w:lang w:val="en-AU"/>
              </w:rPr>
              <w:t xml:space="preserve">Request raises issues under arbitral or judicial review by national, </w:t>
            </w:r>
            <w:r w:rsidRPr="00137A15" w:rsidR="00BC64E3">
              <w:rPr>
                <w:lang w:val="en-AU"/>
              </w:rPr>
              <w:t>supranational,</w:t>
            </w:r>
            <w:r w:rsidRPr="00137A15">
              <w:rPr>
                <w:lang w:val="en-AU"/>
              </w:rPr>
              <w:t xml:space="preserve"> or similar bodies; or is related to a decision by such a body.</w:t>
            </w:r>
          </w:p>
        </w:tc>
      </w:tr>
      <w:tr w:rsidR="00564126" w:rsidTr="000305F2" w14:paraId="42CB4788" w14:textId="77777777">
        <w:tc>
          <w:tcPr>
            <w:tcW w:w="534" w:type="dxa"/>
          </w:tcPr>
          <w:p w:rsidR="00564126" w:rsidP="009D4467" w:rsidRDefault="00564126" w14:paraId="1ACF11AB" w14:textId="7174A474">
            <w:pPr>
              <w:spacing w:line="276" w:lineRule="auto"/>
              <w:jc w:val="center"/>
            </w:pPr>
            <w:r>
              <w:t>15</w:t>
            </w:r>
          </w:p>
        </w:tc>
        <w:tc>
          <w:tcPr>
            <w:tcW w:w="8746" w:type="dxa"/>
          </w:tcPr>
          <w:p w:rsidR="00564126" w:rsidP="00564126" w:rsidRDefault="009D4467" w14:paraId="14E57BCE" w14:textId="4F70977D">
            <w:pPr>
              <w:spacing w:line="276" w:lineRule="auto"/>
            </w:pPr>
            <w:r>
              <w:rPr>
                <w:lang w:val="en-AU"/>
              </w:rPr>
              <w:t>Request</w:t>
            </w:r>
            <w:r w:rsidRPr="00137A15" w:rsidR="00137A15">
              <w:rPr>
                <w:lang w:val="en-AU"/>
              </w:rPr>
              <w:t xml:space="preserve"> was deemed inactive</w:t>
            </w:r>
            <w:r w:rsidR="00137A15">
              <w:rPr>
                <w:lang w:val="en-AU"/>
              </w:rPr>
              <w:t>.</w:t>
            </w:r>
          </w:p>
        </w:tc>
      </w:tr>
      <w:tr w:rsidR="00564126" w:rsidTr="000305F2" w14:paraId="15DA02FF" w14:textId="77777777">
        <w:tc>
          <w:tcPr>
            <w:tcW w:w="534" w:type="dxa"/>
          </w:tcPr>
          <w:p w:rsidR="00564126" w:rsidP="009D4467" w:rsidRDefault="00564126" w14:paraId="0B840101" w14:textId="22D5E15D">
            <w:pPr>
              <w:spacing w:line="276" w:lineRule="auto"/>
              <w:jc w:val="center"/>
            </w:pPr>
            <w:r>
              <w:t>16</w:t>
            </w:r>
          </w:p>
        </w:tc>
        <w:tc>
          <w:tcPr>
            <w:tcW w:w="8746" w:type="dxa"/>
          </w:tcPr>
          <w:p w:rsidR="00564126" w:rsidP="00564126" w:rsidRDefault="009D4467" w14:paraId="6227399C" w14:textId="509CF5BF">
            <w:pPr>
              <w:spacing w:line="276" w:lineRule="auto"/>
            </w:pPr>
            <w:r>
              <w:rPr>
                <w:lang w:val="en-AU"/>
              </w:rPr>
              <w:t>Request</w:t>
            </w:r>
            <w:r w:rsidRPr="00137A15" w:rsidR="00137A15">
              <w:rPr>
                <w:lang w:val="en-AU"/>
              </w:rPr>
              <w:t xml:space="preserve"> could not be verified.</w:t>
            </w:r>
          </w:p>
        </w:tc>
      </w:tr>
      <w:tr w:rsidR="00564126" w:rsidTr="000305F2" w14:paraId="6D07B5E0" w14:textId="77777777">
        <w:tc>
          <w:tcPr>
            <w:tcW w:w="534" w:type="dxa"/>
          </w:tcPr>
          <w:p w:rsidR="00564126" w:rsidP="009D4467" w:rsidRDefault="00564126" w14:paraId="67B1A4A3" w14:textId="023383EE">
            <w:pPr>
              <w:spacing w:line="276" w:lineRule="auto"/>
              <w:jc w:val="center"/>
            </w:pPr>
            <w:r>
              <w:t>17</w:t>
            </w:r>
          </w:p>
        </w:tc>
        <w:tc>
          <w:tcPr>
            <w:tcW w:w="8746" w:type="dxa"/>
          </w:tcPr>
          <w:p w:rsidR="00564126" w:rsidP="00564126" w:rsidRDefault="00137A15" w14:paraId="2505DD4E" w14:textId="4D3EF1FD">
            <w:pPr>
              <w:spacing w:line="276" w:lineRule="auto"/>
            </w:pPr>
            <w:r w:rsidRPr="00137A15">
              <w:rPr>
                <w:lang w:val="en-AU"/>
              </w:rPr>
              <w:t>Request was made by a single individual</w:t>
            </w:r>
            <w:r>
              <w:rPr>
                <w:lang w:val="en-AU"/>
              </w:rPr>
              <w:t>.</w:t>
            </w:r>
          </w:p>
        </w:tc>
      </w:tr>
      <w:tr w:rsidR="00564126" w:rsidTr="000305F2" w14:paraId="34DAE412" w14:textId="77777777">
        <w:tc>
          <w:tcPr>
            <w:tcW w:w="534" w:type="dxa"/>
          </w:tcPr>
          <w:p w:rsidR="00564126" w:rsidP="009D4467" w:rsidRDefault="00564126" w14:paraId="5BD94996" w14:textId="0D58FE75">
            <w:pPr>
              <w:spacing w:line="276" w:lineRule="auto"/>
              <w:jc w:val="center"/>
            </w:pPr>
            <w:r>
              <w:t>18</w:t>
            </w:r>
          </w:p>
        </w:tc>
        <w:tc>
          <w:tcPr>
            <w:tcW w:w="8746" w:type="dxa"/>
          </w:tcPr>
          <w:p w:rsidRPr="009D4467" w:rsidR="00564126" w:rsidP="00564126" w:rsidRDefault="00137A15" w14:paraId="39E8D908" w14:textId="7909F6CE">
            <w:pPr>
              <w:spacing w:line="276" w:lineRule="auto"/>
              <w:rPr>
                <w:i/>
              </w:rPr>
            </w:pPr>
            <w:r w:rsidRPr="00137A15">
              <w:rPr>
                <w:lang w:val="en-AU"/>
              </w:rPr>
              <w:t>Recommendations made</w:t>
            </w:r>
            <w:r w:rsidR="009D4467">
              <w:rPr>
                <w:lang w:val="en-AU"/>
              </w:rPr>
              <w:t>. (</w:t>
            </w:r>
            <w:r w:rsidR="009D4467">
              <w:rPr>
                <w:i/>
                <w:lang w:val="en-AU"/>
              </w:rPr>
              <w:t>CAO only)</w:t>
            </w:r>
          </w:p>
        </w:tc>
      </w:tr>
      <w:tr w:rsidR="00564126" w:rsidTr="000305F2" w14:paraId="497B929E" w14:textId="77777777">
        <w:tc>
          <w:tcPr>
            <w:tcW w:w="534" w:type="dxa"/>
          </w:tcPr>
          <w:p w:rsidR="00564126" w:rsidP="009D4467" w:rsidRDefault="00564126" w14:paraId="4C6C4A0D" w14:textId="2A267C70">
            <w:pPr>
              <w:spacing w:line="276" w:lineRule="auto"/>
              <w:jc w:val="center"/>
            </w:pPr>
            <w:r>
              <w:t>19</w:t>
            </w:r>
          </w:p>
        </w:tc>
        <w:tc>
          <w:tcPr>
            <w:tcW w:w="8746" w:type="dxa"/>
          </w:tcPr>
          <w:p w:rsidRPr="009D4467" w:rsidR="00564126" w:rsidP="00282096" w:rsidRDefault="00282096" w14:paraId="7161A172" w14:textId="1ACE8511">
            <w:pPr>
              <w:spacing w:line="276" w:lineRule="auto"/>
              <w:rPr>
                <w:i/>
              </w:rPr>
            </w:pPr>
            <w:r>
              <w:rPr>
                <w:lang w:val="en-AU"/>
              </w:rPr>
              <w:t>Local</w:t>
            </w:r>
            <w:r w:rsidRPr="00137A15" w:rsidR="00137A15">
              <w:rPr>
                <w:lang w:val="en-AU"/>
              </w:rPr>
              <w:t xml:space="preserve"> consultation mechanism</w:t>
            </w:r>
            <w:r>
              <w:rPr>
                <w:lang w:val="en-AU"/>
              </w:rPr>
              <w:t xml:space="preserve"> was set up,</w:t>
            </w:r>
            <w:r w:rsidRPr="00137A15" w:rsidR="00137A15">
              <w:rPr>
                <w:lang w:val="en-AU"/>
              </w:rPr>
              <w:t xml:space="preserve"> which </w:t>
            </w:r>
            <w:r>
              <w:rPr>
                <w:lang w:val="en-AU"/>
              </w:rPr>
              <w:t>was</w:t>
            </w:r>
            <w:r w:rsidRPr="00137A15" w:rsidR="00137A15">
              <w:rPr>
                <w:lang w:val="en-AU"/>
              </w:rPr>
              <w:t xml:space="preserve"> then phased over to local operation.</w:t>
            </w:r>
            <w:r w:rsidR="009D4467">
              <w:rPr>
                <w:lang w:val="en-AU"/>
              </w:rPr>
              <w:t xml:space="preserve"> (</w:t>
            </w:r>
            <w:r w:rsidR="009D4467">
              <w:rPr>
                <w:i/>
                <w:lang w:val="en-AU"/>
              </w:rPr>
              <w:t>CAO only)</w:t>
            </w:r>
          </w:p>
        </w:tc>
      </w:tr>
      <w:tr w:rsidR="00564126" w:rsidTr="000305F2" w14:paraId="7EA2F293" w14:textId="77777777">
        <w:tc>
          <w:tcPr>
            <w:tcW w:w="534" w:type="dxa"/>
          </w:tcPr>
          <w:p w:rsidR="00564126" w:rsidP="009D4467" w:rsidRDefault="00564126" w14:paraId="24B48926" w14:textId="2180AC6E">
            <w:pPr>
              <w:spacing w:line="276" w:lineRule="auto"/>
              <w:jc w:val="center"/>
            </w:pPr>
            <w:r>
              <w:t>20</w:t>
            </w:r>
          </w:p>
        </w:tc>
        <w:tc>
          <w:tcPr>
            <w:tcW w:w="8746" w:type="dxa"/>
          </w:tcPr>
          <w:p w:rsidRPr="00282096" w:rsidR="00564126" w:rsidP="00282096" w:rsidRDefault="00137A15" w14:paraId="3CFE30CD" w14:textId="20AC142F">
            <w:pPr>
              <w:spacing w:line="276" w:lineRule="auto"/>
              <w:rPr>
                <w:i/>
              </w:rPr>
            </w:pPr>
            <w:r w:rsidRPr="00137A15">
              <w:rPr>
                <w:lang w:val="en-AU"/>
              </w:rPr>
              <w:t>Vice President requested the case be transferred to Compliance</w:t>
            </w:r>
            <w:r w:rsidR="00282096">
              <w:rPr>
                <w:lang w:val="en-AU"/>
              </w:rPr>
              <w:t xml:space="preserve"> Phase</w:t>
            </w:r>
            <w:r w:rsidRPr="00137A15">
              <w:rPr>
                <w:lang w:val="en-AU"/>
              </w:rPr>
              <w:t>.</w:t>
            </w:r>
            <w:r w:rsidR="00282096">
              <w:rPr>
                <w:lang w:val="en-AU"/>
              </w:rPr>
              <w:t xml:space="preserve"> </w:t>
            </w:r>
            <w:r w:rsidR="00282096">
              <w:rPr>
                <w:i/>
                <w:lang w:val="en-AU"/>
              </w:rPr>
              <w:t>(CAO only)</w:t>
            </w:r>
          </w:p>
        </w:tc>
      </w:tr>
      <w:tr w:rsidR="00564126" w:rsidTr="000305F2" w14:paraId="1C80FC96" w14:textId="77777777">
        <w:tc>
          <w:tcPr>
            <w:tcW w:w="534" w:type="dxa"/>
          </w:tcPr>
          <w:p w:rsidR="00564126" w:rsidP="009D4467" w:rsidRDefault="00564126" w14:paraId="4C40E3E4" w14:textId="6063C656">
            <w:pPr>
              <w:spacing w:line="276" w:lineRule="auto"/>
              <w:jc w:val="center"/>
            </w:pPr>
            <w:r>
              <w:t>21</w:t>
            </w:r>
          </w:p>
        </w:tc>
        <w:tc>
          <w:tcPr>
            <w:tcW w:w="8746" w:type="dxa"/>
          </w:tcPr>
          <w:p w:rsidRPr="00282096" w:rsidR="00564126" w:rsidP="00564126" w:rsidRDefault="00137A15" w14:paraId="707390A5" w14:textId="76D934DD">
            <w:pPr>
              <w:spacing w:line="276" w:lineRule="auto"/>
              <w:rPr>
                <w:i/>
              </w:rPr>
            </w:pPr>
            <w:r w:rsidRPr="00137A15">
              <w:rPr>
                <w:lang w:val="en-AU"/>
              </w:rPr>
              <w:t>Dealt with using a Pilot approach for early solutions</w:t>
            </w:r>
            <w:r w:rsidR="00282096">
              <w:rPr>
                <w:lang w:val="en-AU"/>
              </w:rPr>
              <w:t xml:space="preserve">. </w:t>
            </w:r>
            <w:r w:rsidR="00282096">
              <w:rPr>
                <w:i/>
                <w:lang w:val="en-AU"/>
              </w:rPr>
              <w:t>(World Bank only)</w:t>
            </w:r>
          </w:p>
        </w:tc>
      </w:tr>
      <w:tr w:rsidR="00564126" w:rsidTr="000305F2" w14:paraId="54B67567" w14:textId="77777777">
        <w:tc>
          <w:tcPr>
            <w:tcW w:w="534" w:type="dxa"/>
          </w:tcPr>
          <w:p w:rsidR="00564126" w:rsidP="009D4467" w:rsidRDefault="00564126" w14:paraId="1B66B6AC" w14:textId="6EBCAAEE">
            <w:pPr>
              <w:spacing w:line="276" w:lineRule="auto"/>
              <w:jc w:val="center"/>
            </w:pPr>
            <w:r>
              <w:t>22</w:t>
            </w:r>
          </w:p>
        </w:tc>
        <w:tc>
          <w:tcPr>
            <w:tcW w:w="8746" w:type="dxa"/>
          </w:tcPr>
          <w:p w:rsidRPr="00282096" w:rsidR="00564126" w:rsidP="00564126" w:rsidRDefault="00137A15" w14:paraId="4E7AB675" w14:textId="4837F244">
            <w:pPr>
              <w:spacing w:line="276" w:lineRule="auto"/>
              <w:rPr>
                <w:i/>
              </w:rPr>
            </w:pPr>
            <w:r w:rsidRPr="00137A15">
              <w:rPr>
                <w:lang w:val="en-AU"/>
              </w:rPr>
              <w:t>Financed through a Bank Executed Trust Fund (BETF).</w:t>
            </w:r>
            <w:r w:rsidR="00282096">
              <w:rPr>
                <w:lang w:val="en-AU"/>
              </w:rPr>
              <w:t xml:space="preserve"> </w:t>
            </w:r>
            <w:r w:rsidR="00282096">
              <w:rPr>
                <w:i/>
                <w:lang w:val="en-AU"/>
              </w:rPr>
              <w:t>(World Bank only)</w:t>
            </w:r>
          </w:p>
        </w:tc>
      </w:tr>
      <w:tr w:rsidR="00564126" w:rsidTr="000305F2" w14:paraId="1904BFCB" w14:textId="77777777">
        <w:tc>
          <w:tcPr>
            <w:tcW w:w="534" w:type="dxa"/>
          </w:tcPr>
          <w:p w:rsidR="00564126" w:rsidP="009D4467" w:rsidRDefault="00564126" w14:paraId="76C2D485" w14:textId="56F6568F">
            <w:pPr>
              <w:spacing w:line="276" w:lineRule="auto"/>
              <w:jc w:val="center"/>
            </w:pPr>
            <w:r>
              <w:t>23</w:t>
            </w:r>
          </w:p>
        </w:tc>
        <w:tc>
          <w:tcPr>
            <w:tcW w:w="8746" w:type="dxa"/>
          </w:tcPr>
          <w:p w:rsidR="00564126" w:rsidP="00564126" w:rsidRDefault="00137A15" w14:paraId="2B5FE5EF" w14:textId="59B0A5A6">
            <w:pPr>
              <w:spacing w:line="276" w:lineRule="auto"/>
            </w:pPr>
            <w:r w:rsidRPr="00137A15">
              <w:rPr>
                <w:lang w:val="en-AU"/>
              </w:rPr>
              <w:t>Could not determine as documents are not publicly available</w:t>
            </w:r>
          </w:p>
        </w:tc>
      </w:tr>
    </w:tbl>
    <w:p w:rsidR="00F8655C" w:rsidP="00556B70" w:rsidRDefault="00F8655C" w14:paraId="54455A65" w14:textId="77777777">
      <w:pPr>
        <w:spacing w:line="276" w:lineRule="auto"/>
        <w:rPr>
          <w:b/>
          <w:i/>
        </w:rPr>
      </w:pPr>
    </w:p>
    <w:p w:rsidR="00556B70" w:rsidP="00556B70" w:rsidRDefault="00556B70" w14:paraId="4C674134" w14:textId="6786CB6D">
      <w:pPr>
        <w:spacing w:line="276" w:lineRule="auto"/>
        <w:rPr>
          <w:b/>
          <w:i/>
        </w:rPr>
      </w:pPr>
      <w:r>
        <w:rPr>
          <w:b/>
          <w:i/>
        </w:rPr>
        <w:t>2.5</w:t>
      </w:r>
      <w:r w:rsidRPr="00C64617">
        <w:rPr>
          <w:b/>
          <w:i/>
        </w:rPr>
        <w:t xml:space="preserve">. </w:t>
      </w:r>
      <w:r>
        <w:rPr>
          <w:b/>
          <w:i/>
        </w:rPr>
        <w:t>Non-Compliance Found in the Investigation</w:t>
      </w:r>
    </w:p>
    <w:p w:rsidR="001F40D7" w:rsidP="00556B70" w:rsidRDefault="00E40B2D" w14:paraId="37129DA4" w14:textId="73E08336">
      <w:pPr>
        <w:spacing w:line="276" w:lineRule="auto"/>
      </w:pPr>
      <w:r>
        <w:t xml:space="preserve">The following is not an exhaustive list of all policies that exist for MDBs; rather it is a list of all policies that have been triggered in any cases covered by this analysis. </w:t>
      </w:r>
      <w:r w:rsidRPr="004C0219" w:rsidR="00556B70">
        <w:t xml:space="preserve">The </w:t>
      </w:r>
      <w:r w:rsidRPr="004C0219" w:rsidR="004C0219">
        <w:t xml:space="preserve">policy violations have been grouped into </w:t>
      </w:r>
      <w:r w:rsidR="00337D79">
        <w:t>17</w:t>
      </w:r>
      <w:r w:rsidR="004C0219">
        <w:t xml:space="preserve"> categories, which </w:t>
      </w:r>
      <w:r w:rsidR="005C1A59">
        <w:t xml:space="preserve">cover </w:t>
      </w:r>
      <w:proofErr w:type="gramStart"/>
      <w:r w:rsidR="005C1A59">
        <w:t xml:space="preserve">all </w:t>
      </w:r>
      <w:r w:rsidRPr="004C0219" w:rsidR="004C0219">
        <w:t>of</w:t>
      </w:r>
      <w:proofErr w:type="gramEnd"/>
      <w:r w:rsidR="005C1A59">
        <w:t xml:space="preserve"> the</w:t>
      </w:r>
      <w:r w:rsidRPr="004C0219" w:rsidR="004C0219">
        <w:t xml:space="preserve"> policies across</w:t>
      </w:r>
      <w:r w:rsidR="005C1A59">
        <w:t xml:space="preserve"> all of the banks. The policy violations have been categorised to capture ‘like’ policy violations</w:t>
      </w:r>
      <w:r w:rsidRPr="004C0219" w:rsidR="004C0219">
        <w:t xml:space="preserve"> within banks. </w:t>
      </w:r>
      <w:r w:rsidR="004C0219">
        <w:t xml:space="preserve">The full list of policies included in each of the categories is listed below. </w:t>
      </w:r>
      <w:r>
        <w:t>Note that where applicable, policy numbers have been listed alongside the policy but where multiple numbers for the same policy have been used over time, the author has noted only the most recent policy number. Further n</w:t>
      </w:r>
      <w:r w:rsidR="004C0219">
        <w:t>ote that the World Bank is not included here as it is depicted differently (see Section 8).</w:t>
      </w:r>
    </w:p>
    <w:p w:rsidRPr="009D4467" w:rsidR="00321E6B" w:rsidP="00556B70" w:rsidRDefault="00321E6B" w14:paraId="0716919A" w14:textId="77777777">
      <w:pPr>
        <w:spacing w:line="276" w:lineRule="auto"/>
      </w:pPr>
    </w:p>
    <w:tbl>
      <w:tblPr>
        <w:tblStyle w:val="TableGrid"/>
        <w:tblW w:w="0" w:type="auto"/>
        <w:tblLook w:val="04A0" w:firstRow="1" w:lastRow="0" w:firstColumn="1" w:lastColumn="0" w:noHBand="0" w:noVBand="1"/>
      </w:tblPr>
      <w:tblGrid>
        <w:gridCol w:w="572"/>
        <w:gridCol w:w="8482"/>
      </w:tblGrid>
      <w:tr w:rsidR="00556B70" w:rsidTr="3A5E98D2" w14:paraId="0CD4D4A5" w14:textId="77777777">
        <w:tc>
          <w:tcPr>
            <w:tcW w:w="572" w:type="dxa"/>
            <w:tcMar/>
          </w:tcPr>
          <w:p w:rsidRPr="00564126" w:rsidR="00556B70" w:rsidP="00556B70" w:rsidRDefault="00556B70" w14:paraId="01159966" w14:textId="77777777">
            <w:pPr>
              <w:spacing w:line="276" w:lineRule="auto"/>
              <w:rPr>
                <w:b/>
              </w:rPr>
            </w:pPr>
            <w:r w:rsidRPr="00564126">
              <w:rPr>
                <w:b/>
              </w:rPr>
              <w:t>No.</w:t>
            </w:r>
          </w:p>
        </w:tc>
        <w:tc>
          <w:tcPr>
            <w:tcW w:w="8708" w:type="dxa"/>
            <w:tcMar/>
          </w:tcPr>
          <w:p w:rsidRPr="00564126" w:rsidR="00556B70" w:rsidP="00556B70" w:rsidRDefault="00556B70" w14:paraId="34AA859E" w14:textId="77777777">
            <w:pPr>
              <w:spacing w:line="276" w:lineRule="auto"/>
              <w:rPr>
                <w:b/>
              </w:rPr>
            </w:pPr>
            <w:r w:rsidRPr="00564126">
              <w:rPr>
                <w:b/>
              </w:rPr>
              <w:t>Reason</w:t>
            </w:r>
          </w:p>
        </w:tc>
      </w:tr>
      <w:tr w:rsidR="00556B70" w:rsidTr="3A5E98D2" w14:paraId="7675914F" w14:textId="77777777">
        <w:tc>
          <w:tcPr>
            <w:tcW w:w="572" w:type="dxa"/>
            <w:tcMar/>
            <w:vAlign w:val="center"/>
          </w:tcPr>
          <w:p w:rsidR="00556B70" w:rsidP="00787E19" w:rsidRDefault="00556B70" w14:paraId="5BEE7F8A" w14:textId="5896AEAF">
            <w:pPr>
              <w:spacing w:line="276" w:lineRule="auto"/>
              <w:jc w:val="center"/>
            </w:pPr>
            <w:r>
              <w:t>A</w:t>
            </w:r>
          </w:p>
        </w:tc>
        <w:tc>
          <w:tcPr>
            <w:tcW w:w="8708" w:type="dxa"/>
            <w:tcMar/>
          </w:tcPr>
          <w:p w:rsidRPr="00787E19" w:rsidR="00787E19" w:rsidP="00FE4B32" w:rsidRDefault="00556B70" w14:paraId="7B67BF7D" w14:textId="77777777">
            <w:pPr>
              <w:spacing w:after="120" w:line="276" w:lineRule="auto"/>
              <w:rPr>
                <w:b/>
                <w:lang w:val="en-AU"/>
              </w:rPr>
            </w:pPr>
            <w:r w:rsidRPr="00787E19">
              <w:rPr>
                <w:b/>
                <w:lang w:val="en-AU"/>
              </w:rPr>
              <w:t>Umbrella/Generic Social and Environmental Policies</w:t>
            </w:r>
            <w:r w:rsidRPr="00787E19" w:rsidR="00787E19">
              <w:rPr>
                <w:b/>
                <w:lang w:val="en-AU"/>
              </w:rPr>
              <w:t xml:space="preserve"> – includes:</w:t>
            </w:r>
          </w:p>
          <w:p w:rsidR="00787E19" w:rsidP="0070530A" w:rsidRDefault="00787E19" w14:paraId="6DF599C3" w14:textId="7804B367">
            <w:pPr>
              <w:tabs>
                <w:tab w:val="left" w:pos="3114"/>
              </w:tabs>
              <w:spacing w:line="276" w:lineRule="auto"/>
              <w:rPr>
                <w:lang w:val="en-AU"/>
              </w:rPr>
            </w:pPr>
            <w:r w:rsidRPr="00787E19">
              <w:rPr>
                <w:u w:val="single"/>
                <w:lang w:val="en-AU"/>
              </w:rPr>
              <w:t>African Development Bank</w:t>
            </w:r>
            <w:r>
              <w:rPr>
                <w:u w:val="single"/>
                <w:lang w:val="en-AU"/>
              </w:rPr>
              <w:t>:</w:t>
            </w:r>
          </w:p>
          <w:p w:rsidR="009B0421" w:rsidP="3A5E98D2" w:rsidRDefault="009B0421" w14:paraId="5EDA5FC3" w14:textId="0188AEDF">
            <w:pPr>
              <w:tabs>
                <w:tab w:val="left" w:pos="3114"/>
              </w:tabs>
              <w:spacing w:line="276" w:lineRule="auto"/>
              <w:rPr>
                <w:i w:val="1"/>
                <w:iCs w:val="1"/>
                <w:lang w:val="en-AU"/>
              </w:rPr>
            </w:pPr>
            <w:r w:rsidRPr="3A5E98D2" w:rsidR="009B0421">
              <w:rPr>
                <w:i w:val="1"/>
                <w:iCs w:val="1"/>
                <w:lang w:val="en-AU"/>
              </w:rPr>
              <w:t xml:space="preserve">- </w:t>
            </w:r>
            <w:r w:rsidRPr="3A5E98D2" w:rsidR="009B0421">
              <w:rPr>
                <w:i w:val="1"/>
                <w:iCs w:val="1"/>
                <w:lang w:val="en-AU"/>
              </w:rPr>
              <w:t>OS 1: Environmental and Social Assessment</w:t>
            </w:r>
            <w:r w:rsidRPr="3A5E98D2" w:rsidR="009B0421">
              <w:rPr>
                <w:i w:val="1"/>
                <w:iCs w:val="1"/>
                <w:lang w:val="en-AU"/>
              </w:rPr>
              <w:t xml:space="preserve"> </w:t>
            </w:r>
          </w:p>
          <w:p w:rsidR="00F628BE" w:rsidP="0070530A" w:rsidRDefault="00F628BE" w14:paraId="676378F1" w14:textId="58736AF0">
            <w:pPr>
              <w:tabs>
                <w:tab w:val="left" w:pos="3114"/>
              </w:tabs>
              <w:spacing w:line="276" w:lineRule="auto"/>
              <w:rPr>
                <w:i/>
                <w:lang w:val="en-AU"/>
              </w:rPr>
            </w:pPr>
            <w:r>
              <w:rPr>
                <w:i/>
                <w:lang w:val="en-AU"/>
              </w:rPr>
              <w:t>- Policy</w:t>
            </w:r>
            <w:r w:rsidRPr="00F628BE">
              <w:rPr>
                <w:i/>
                <w:lang w:val="en-AU"/>
              </w:rPr>
              <w:t xml:space="preserve"> on the Environment</w:t>
            </w:r>
          </w:p>
          <w:p w:rsidR="00F628BE" w:rsidP="0070530A" w:rsidRDefault="00F628BE" w14:paraId="6CBA9417" w14:textId="336A51B4">
            <w:pPr>
              <w:tabs>
                <w:tab w:val="left" w:pos="3114"/>
              </w:tabs>
              <w:spacing w:line="276" w:lineRule="auto"/>
              <w:rPr>
                <w:i/>
                <w:lang w:val="en-AU"/>
              </w:rPr>
            </w:pPr>
            <w:r>
              <w:rPr>
                <w:i/>
                <w:lang w:val="en-AU"/>
              </w:rPr>
              <w:t xml:space="preserve">- Environmental and Social Assessment Procedures </w:t>
            </w:r>
            <w:r w:rsidR="004D4C47">
              <w:rPr>
                <w:i/>
                <w:lang w:val="en-AU"/>
              </w:rPr>
              <w:t xml:space="preserve">(ESAP) </w:t>
            </w:r>
            <w:r>
              <w:rPr>
                <w:i/>
                <w:lang w:val="en-AU"/>
              </w:rPr>
              <w:t>for Public Sector Operations</w:t>
            </w:r>
            <w:r w:rsidR="004D4C47">
              <w:rPr>
                <w:i/>
                <w:lang w:val="en-AU"/>
              </w:rPr>
              <w:t xml:space="preserve"> (2001)</w:t>
            </w:r>
          </w:p>
          <w:p w:rsidR="00F628BE" w:rsidP="0070530A" w:rsidRDefault="00F628BE" w14:paraId="4CD026D3" w14:textId="18A4EA69">
            <w:pPr>
              <w:tabs>
                <w:tab w:val="left" w:pos="3114"/>
              </w:tabs>
              <w:spacing w:line="276" w:lineRule="auto"/>
              <w:rPr>
                <w:i/>
                <w:lang w:val="en-AU"/>
              </w:rPr>
            </w:pPr>
            <w:r>
              <w:rPr>
                <w:i/>
                <w:lang w:val="en-AU"/>
              </w:rPr>
              <w:t>- Environmental Review Procedures for Private Sector Operations</w:t>
            </w:r>
          </w:p>
          <w:p w:rsidR="00F628BE" w:rsidP="0070530A" w:rsidRDefault="00F628BE" w14:paraId="6787F8FB" w14:textId="09C17B71">
            <w:pPr>
              <w:tabs>
                <w:tab w:val="left" w:pos="3114"/>
              </w:tabs>
              <w:spacing w:line="276" w:lineRule="auto"/>
              <w:rPr>
                <w:i/>
                <w:lang w:val="en-AU"/>
              </w:rPr>
            </w:pPr>
            <w:r>
              <w:rPr>
                <w:i/>
                <w:lang w:val="en-AU"/>
              </w:rPr>
              <w:t>- Integrated Environment and Social Impact Assessment Guidelines</w:t>
            </w:r>
          </w:p>
          <w:p w:rsidR="00F628BE" w:rsidP="0070530A" w:rsidRDefault="00F628BE" w14:paraId="31000729" w14:textId="5EA9587E">
            <w:pPr>
              <w:tabs>
                <w:tab w:val="left" w:pos="3114"/>
              </w:tabs>
              <w:spacing w:line="276" w:lineRule="auto"/>
              <w:rPr>
                <w:i/>
                <w:lang w:val="en-AU"/>
              </w:rPr>
            </w:pPr>
            <w:r>
              <w:rPr>
                <w:i/>
                <w:lang w:val="en-AU"/>
              </w:rPr>
              <w:t>- Environmental Assessment Guidelines</w:t>
            </w:r>
          </w:p>
          <w:p w:rsidR="00F628BE" w:rsidP="0070530A" w:rsidRDefault="00F628BE" w14:paraId="21B4CDB1" w14:textId="77777777">
            <w:pPr>
              <w:tabs>
                <w:tab w:val="left" w:pos="3114"/>
              </w:tabs>
              <w:spacing w:line="276" w:lineRule="auto"/>
              <w:rPr>
                <w:u w:val="single"/>
                <w:lang w:val="en-AU"/>
              </w:rPr>
            </w:pPr>
            <w:r>
              <w:rPr>
                <w:u w:val="single"/>
                <w:lang w:val="en-AU"/>
              </w:rPr>
              <w:t>Asian Development Bank</w:t>
            </w:r>
          </w:p>
          <w:p w:rsidRPr="00F628BE" w:rsidR="00F628BE" w:rsidP="0070530A" w:rsidRDefault="00F628BE" w14:paraId="3043B2B4" w14:textId="131FAEAE">
            <w:pPr>
              <w:tabs>
                <w:tab w:val="left" w:pos="3114"/>
              </w:tabs>
              <w:spacing w:line="276" w:lineRule="auto"/>
              <w:rPr>
                <w:i/>
                <w:lang w:val="en-AU"/>
              </w:rPr>
            </w:pPr>
            <w:r w:rsidRPr="00F628BE">
              <w:rPr>
                <w:i/>
                <w:lang w:val="en-AU"/>
              </w:rPr>
              <w:t>-</w:t>
            </w:r>
            <w:r>
              <w:rPr>
                <w:i/>
                <w:lang w:val="en-AU"/>
              </w:rPr>
              <w:t xml:space="preserve"> </w:t>
            </w:r>
            <w:r w:rsidR="001075DD">
              <w:rPr>
                <w:i/>
                <w:lang w:val="en-AU"/>
              </w:rPr>
              <w:t xml:space="preserve">OM20 </w:t>
            </w:r>
            <w:r w:rsidRPr="00F628BE">
              <w:rPr>
                <w:i/>
                <w:lang w:val="en-AU"/>
              </w:rPr>
              <w:t>Environmental Considerations in Bank Operations</w:t>
            </w:r>
          </w:p>
          <w:p w:rsidR="00F628BE" w:rsidP="0070530A" w:rsidRDefault="00F628BE" w14:paraId="0D2B6C3C" w14:textId="17AC4E4E">
            <w:pPr>
              <w:spacing w:line="276" w:lineRule="auto"/>
              <w:rPr>
                <w:i/>
                <w:lang w:val="en-AU"/>
              </w:rPr>
            </w:pPr>
            <w:r>
              <w:rPr>
                <w:i/>
                <w:lang w:val="en-AU"/>
              </w:rPr>
              <w:lastRenderedPageBreak/>
              <w:t xml:space="preserve">- </w:t>
            </w:r>
            <w:r w:rsidR="00AC00B1">
              <w:rPr>
                <w:i/>
                <w:lang w:val="en-AU"/>
              </w:rPr>
              <w:t xml:space="preserve">C3: </w:t>
            </w:r>
            <w:r>
              <w:rPr>
                <w:i/>
                <w:lang w:val="en-AU"/>
              </w:rPr>
              <w:t xml:space="preserve">Incorporation of Social Dimensions in </w:t>
            </w:r>
            <w:r w:rsidR="00AC00B1">
              <w:rPr>
                <w:i/>
                <w:lang w:val="en-AU"/>
              </w:rPr>
              <w:t>ADB</w:t>
            </w:r>
            <w:r>
              <w:rPr>
                <w:i/>
                <w:lang w:val="en-AU"/>
              </w:rPr>
              <w:t xml:space="preserve"> Operations</w:t>
            </w:r>
          </w:p>
          <w:p w:rsidR="00C06DF4" w:rsidP="0070530A" w:rsidRDefault="00C06DF4" w14:paraId="70E30B29" w14:textId="51300F7E">
            <w:pPr>
              <w:spacing w:line="276" w:lineRule="auto"/>
              <w:rPr>
                <w:i/>
                <w:lang w:val="en-AU"/>
              </w:rPr>
            </w:pPr>
            <w:r>
              <w:rPr>
                <w:i/>
                <w:lang w:val="en-AU"/>
              </w:rPr>
              <w:t>- Environment Policy (2002)</w:t>
            </w:r>
          </w:p>
          <w:p w:rsidR="00337EBC" w:rsidP="0070530A" w:rsidRDefault="00337EBC" w14:paraId="57A68537" w14:textId="0919000D">
            <w:pPr>
              <w:spacing w:line="276" w:lineRule="auto"/>
              <w:rPr>
                <w:i/>
                <w:lang w:val="en-AU"/>
              </w:rPr>
            </w:pPr>
            <w:r>
              <w:rPr>
                <w:i/>
                <w:lang w:val="en-AU"/>
              </w:rPr>
              <w:t>- Safeguard Policy Statement (2009)</w:t>
            </w:r>
            <w:r w:rsidR="004D7F6C">
              <w:rPr>
                <w:i/>
                <w:lang w:val="en-AU"/>
              </w:rPr>
              <w:t>, revised 2013</w:t>
            </w:r>
          </w:p>
          <w:p w:rsidRPr="0070530A" w:rsidR="00787E19" w:rsidP="0070530A" w:rsidRDefault="00C06DF4" w14:paraId="3BCF2852" w14:textId="77777777">
            <w:pPr>
              <w:spacing w:line="276" w:lineRule="auto"/>
              <w:rPr>
                <w:u w:val="single"/>
                <w:lang w:val="en-AU"/>
              </w:rPr>
            </w:pPr>
            <w:r w:rsidRPr="0070530A">
              <w:rPr>
                <w:u w:val="single"/>
                <w:lang w:val="en-AU"/>
              </w:rPr>
              <w:t>European Bank for Reconstruction and Development</w:t>
            </w:r>
          </w:p>
          <w:p w:rsidRPr="00C06DF4" w:rsidR="00C06DF4" w:rsidP="0070530A" w:rsidRDefault="00C06DF4" w14:paraId="69F25053" w14:textId="2E720749">
            <w:pPr>
              <w:spacing w:line="276" w:lineRule="auto"/>
              <w:rPr>
                <w:i/>
                <w:lang w:val="en-AU"/>
              </w:rPr>
            </w:pPr>
            <w:r w:rsidRPr="0070530A">
              <w:rPr>
                <w:i/>
                <w:lang w:val="en-AU"/>
              </w:rPr>
              <w:t>- PR1: Assessment</w:t>
            </w:r>
            <w:r w:rsidRPr="00C06DF4">
              <w:rPr>
                <w:i/>
                <w:lang w:val="en-AU"/>
              </w:rPr>
              <w:t xml:space="preserve"> and Management of Environmental and Social Impacts and Issues</w:t>
            </w:r>
          </w:p>
          <w:p w:rsidR="00C06DF4" w:rsidP="0070530A" w:rsidRDefault="00C06DF4" w14:paraId="2C8D7436" w14:textId="678E4CF7">
            <w:pPr>
              <w:spacing w:line="276" w:lineRule="auto"/>
              <w:rPr>
                <w:i/>
                <w:lang w:val="en-AU"/>
              </w:rPr>
            </w:pPr>
            <w:r w:rsidRPr="00C06DF4">
              <w:rPr>
                <w:i/>
                <w:lang w:val="en-AU"/>
              </w:rPr>
              <w:t>- Environmental Policy (2003)</w:t>
            </w:r>
          </w:p>
          <w:p w:rsidR="00FE4B32" w:rsidP="0070530A" w:rsidRDefault="00FE4B32" w14:paraId="57682BE4" w14:textId="2A1A121D">
            <w:pPr>
              <w:spacing w:line="276" w:lineRule="auto"/>
              <w:rPr>
                <w:i/>
                <w:lang w:val="en-AU"/>
              </w:rPr>
            </w:pPr>
            <w:r>
              <w:rPr>
                <w:i/>
                <w:lang w:val="en-AU"/>
              </w:rPr>
              <w:t xml:space="preserve">- </w:t>
            </w:r>
            <w:r w:rsidRPr="00FE4B32">
              <w:rPr>
                <w:i/>
                <w:lang w:val="en-AU"/>
              </w:rPr>
              <w:t>Environmental and Social Policy</w:t>
            </w:r>
            <w:r>
              <w:rPr>
                <w:i/>
                <w:lang w:val="en-AU"/>
              </w:rPr>
              <w:t xml:space="preserve"> (2008</w:t>
            </w:r>
            <w:r w:rsidR="001202E1">
              <w:rPr>
                <w:i/>
                <w:lang w:val="en-AU"/>
              </w:rPr>
              <w:t>, updated 2014</w:t>
            </w:r>
            <w:r>
              <w:rPr>
                <w:i/>
                <w:lang w:val="en-AU"/>
              </w:rPr>
              <w:t>)</w:t>
            </w:r>
          </w:p>
          <w:p w:rsidR="00C06DF4" w:rsidP="0070530A" w:rsidRDefault="00C06DF4" w14:paraId="592B8A94" w14:textId="4815AFB0">
            <w:pPr>
              <w:spacing w:line="276" w:lineRule="auto"/>
              <w:rPr>
                <w:u w:val="single"/>
                <w:lang w:val="en-AU"/>
              </w:rPr>
            </w:pPr>
            <w:r>
              <w:rPr>
                <w:u w:val="single"/>
                <w:lang w:val="en-AU"/>
              </w:rPr>
              <w:t>Inter-American Development Bank</w:t>
            </w:r>
          </w:p>
          <w:p w:rsidRPr="0070530A" w:rsidR="00C06DF4" w:rsidP="0070530A" w:rsidRDefault="00C06DF4" w14:paraId="0301C97C" w14:textId="6C3EA6A4">
            <w:pPr>
              <w:spacing w:line="276" w:lineRule="auto"/>
              <w:rPr>
                <w:i/>
                <w:lang w:val="en-AU"/>
              </w:rPr>
            </w:pPr>
            <w:r w:rsidRPr="0070530A">
              <w:rPr>
                <w:i/>
                <w:lang w:val="en-AU"/>
              </w:rPr>
              <w:t>- OP-703: Environmental and Safeguards Compliance Policy</w:t>
            </w:r>
          </w:p>
          <w:p w:rsidR="00C06DF4" w:rsidP="0070530A" w:rsidRDefault="00C06DF4" w14:paraId="58190191" w14:textId="3A8BD93D">
            <w:pPr>
              <w:spacing w:line="276" w:lineRule="auto"/>
              <w:rPr>
                <w:i/>
                <w:lang w:val="en-AU"/>
              </w:rPr>
            </w:pPr>
            <w:r w:rsidRPr="0070530A">
              <w:rPr>
                <w:i/>
                <w:lang w:val="en-AU"/>
              </w:rPr>
              <w:t xml:space="preserve">- </w:t>
            </w:r>
            <w:r w:rsidRPr="008C3584">
              <w:rPr>
                <w:i/>
                <w:lang w:val="en-AU"/>
              </w:rPr>
              <w:t>PR-204: Environmental and Social Impact Aspects of Operations Processing</w:t>
            </w:r>
          </w:p>
          <w:p w:rsidR="00C06DF4" w:rsidP="0070530A" w:rsidRDefault="00C06DF4" w14:paraId="2219D626" w14:textId="77777777">
            <w:pPr>
              <w:spacing w:line="276" w:lineRule="auto"/>
              <w:rPr>
                <w:u w:val="single"/>
                <w:lang w:val="en-AU"/>
              </w:rPr>
            </w:pPr>
            <w:r>
              <w:rPr>
                <w:u w:val="single"/>
                <w:lang w:val="en-AU"/>
              </w:rPr>
              <w:t>International Finance Corporation</w:t>
            </w:r>
          </w:p>
          <w:p w:rsidR="00E91CC5" w:rsidP="0070530A" w:rsidRDefault="00C06DF4" w14:paraId="6EB5ED17" w14:textId="54B381A0">
            <w:pPr>
              <w:spacing w:line="276" w:lineRule="auto"/>
              <w:rPr>
                <w:i/>
                <w:lang w:val="en-AU"/>
              </w:rPr>
            </w:pPr>
            <w:r w:rsidRPr="00A14587">
              <w:rPr>
                <w:i/>
                <w:lang w:val="en-AU"/>
              </w:rPr>
              <w:t>-</w:t>
            </w:r>
            <w:r w:rsidRPr="00A14587" w:rsidR="00E91CC5">
              <w:rPr>
                <w:i/>
                <w:lang w:val="en-AU"/>
              </w:rPr>
              <w:t xml:space="preserve"> OP-4.01: Environmental Assessment (1998, updated 2006)</w:t>
            </w:r>
            <w:r>
              <w:rPr>
                <w:i/>
                <w:lang w:val="en-AU"/>
              </w:rPr>
              <w:t xml:space="preserve"> </w:t>
            </w:r>
          </w:p>
          <w:p w:rsidRPr="00C06DF4" w:rsidR="00C06DF4" w:rsidP="0070530A" w:rsidRDefault="00E91CC5" w14:paraId="5439333D" w14:textId="286563D4">
            <w:pPr>
              <w:spacing w:line="276" w:lineRule="auto"/>
              <w:rPr>
                <w:i/>
                <w:lang w:val="en-AU"/>
              </w:rPr>
            </w:pPr>
            <w:r>
              <w:rPr>
                <w:i/>
                <w:lang w:val="en-AU"/>
              </w:rPr>
              <w:t xml:space="preserve">- </w:t>
            </w:r>
            <w:r w:rsidRPr="00C06DF4" w:rsidR="00C06DF4">
              <w:rPr>
                <w:i/>
                <w:lang w:val="en-AU"/>
              </w:rPr>
              <w:t>Policy on Social and Environmental Sustainability</w:t>
            </w:r>
          </w:p>
          <w:p w:rsidRPr="00C06DF4" w:rsidR="00C06DF4" w:rsidP="00FE4B32" w:rsidRDefault="00F27F31" w14:paraId="679FBF2A" w14:textId="6C3998E2">
            <w:pPr>
              <w:spacing w:after="120" w:line="276" w:lineRule="auto"/>
              <w:rPr>
                <w:i/>
                <w:lang w:val="en-AU"/>
              </w:rPr>
            </w:pPr>
            <w:r>
              <w:rPr>
                <w:i/>
                <w:lang w:val="en-AU"/>
              </w:rPr>
              <w:t>- PS</w:t>
            </w:r>
            <w:r w:rsidR="00C06DF4">
              <w:rPr>
                <w:i/>
                <w:lang w:val="en-AU"/>
              </w:rPr>
              <w:t>1: Assessment and Management of Environmental and Social Risks and Impacts</w:t>
            </w:r>
          </w:p>
        </w:tc>
      </w:tr>
      <w:tr w:rsidR="00556B70" w:rsidTr="3A5E98D2" w14:paraId="6714D4E6" w14:textId="77777777">
        <w:tc>
          <w:tcPr>
            <w:tcW w:w="572" w:type="dxa"/>
            <w:tcMar/>
            <w:vAlign w:val="center"/>
          </w:tcPr>
          <w:p w:rsidR="00556B70" w:rsidP="00787E19" w:rsidRDefault="00556B70" w14:paraId="175488D9" w14:textId="7EDE6174">
            <w:pPr>
              <w:spacing w:line="276" w:lineRule="auto"/>
              <w:jc w:val="center"/>
            </w:pPr>
            <w:r>
              <w:lastRenderedPageBreak/>
              <w:t>B</w:t>
            </w:r>
          </w:p>
        </w:tc>
        <w:tc>
          <w:tcPr>
            <w:tcW w:w="8708" w:type="dxa"/>
            <w:tcMar/>
          </w:tcPr>
          <w:p w:rsidR="00556B70" w:rsidP="00FE4B32" w:rsidRDefault="0070530A" w14:paraId="4534E998" w14:textId="77777777">
            <w:pPr>
              <w:spacing w:after="120" w:line="276" w:lineRule="auto"/>
              <w:rPr>
                <w:b/>
              </w:rPr>
            </w:pPr>
            <w:r>
              <w:rPr>
                <w:b/>
              </w:rPr>
              <w:t>Involuntary Resettlement</w:t>
            </w:r>
          </w:p>
          <w:p w:rsidR="0070530A" w:rsidP="0070530A" w:rsidRDefault="0070530A" w14:paraId="30E176CC" w14:textId="77777777">
            <w:pPr>
              <w:tabs>
                <w:tab w:val="left" w:pos="3114"/>
              </w:tabs>
              <w:spacing w:line="276" w:lineRule="auto"/>
              <w:rPr>
                <w:lang w:val="en-AU"/>
              </w:rPr>
            </w:pPr>
            <w:r w:rsidRPr="00787E19">
              <w:rPr>
                <w:u w:val="single"/>
                <w:lang w:val="en-AU"/>
              </w:rPr>
              <w:t>African Development Bank</w:t>
            </w:r>
            <w:r>
              <w:rPr>
                <w:u w:val="single"/>
                <w:lang w:val="en-AU"/>
              </w:rPr>
              <w:t>:</w:t>
            </w:r>
          </w:p>
          <w:p w:rsidR="0070530A" w:rsidP="0070530A" w:rsidRDefault="0070530A" w14:paraId="5497405B" w14:textId="386A0881">
            <w:pPr>
              <w:tabs>
                <w:tab w:val="left" w:pos="3114"/>
              </w:tabs>
              <w:spacing w:line="276" w:lineRule="auto"/>
              <w:rPr>
                <w:i/>
                <w:lang w:val="en-AU"/>
              </w:rPr>
            </w:pPr>
            <w:r>
              <w:rPr>
                <w:i/>
                <w:lang w:val="en-AU"/>
              </w:rPr>
              <w:t>- Policy</w:t>
            </w:r>
            <w:r w:rsidRPr="00F628BE">
              <w:rPr>
                <w:i/>
                <w:lang w:val="en-AU"/>
              </w:rPr>
              <w:t xml:space="preserve"> on </w:t>
            </w:r>
            <w:r>
              <w:rPr>
                <w:i/>
                <w:lang w:val="en-AU"/>
              </w:rPr>
              <w:t>Involuntary Resettlement</w:t>
            </w:r>
          </w:p>
          <w:p w:rsidR="00C769DD" w:rsidP="3A5E98D2" w:rsidRDefault="00A7535B" w14:paraId="56D4FE5A" w14:textId="3A341846">
            <w:pPr>
              <w:tabs>
                <w:tab w:val="left" w:pos="3114"/>
              </w:tabs>
              <w:spacing w:line="276" w:lineRule="auto"/>
              <w:rPr>
                <w:i w:val="1"/>
                <w:iCs w:val="1"/>
                <w:lang w:val="en-AU"/>
              </w:rPr>
            </w:pPr>
            <w:r w:rsidRPr="3A5E98D2" w:rsidR="00A7535B">
              <w:rPr>
                <w:i w:val="1"/>
                <w:iCs w:val="1"/>
                <w:lang w:val="en-AU"/>
              </w:rPr>
              <w:t xml:space="preserve">- </w:t>
            </w:r>
            <w:r w:rsidRPr="3A5E98D2" w:rsidR="00C769DD">
              <w:rPr>
                <w:i w:val="1"/>
                <w:iCs w:val="1"/>
                <w:lang w:val="en-AU"/>
              </w:rPr>
              <w:t>OS 2: Involuntary Resettlement: Land Acquisition, Population Displacement and Compensation</w:t>
            </w:r>
          </w:p>
          <w:p w:rsidR="0070530A" w:rsidP="0070530A" w:rsidRDefault="0070530A" w14:paraId="0AC26AF3" w14:textId="77777777">
            <w:pPr>
              <w:tabs>
                <w:tab w:val="left" w:pos="3114"/>
              </w:tabs>
              <w:spacing w:line="276" w:lineRule="auto"/>
              <w:rPr>
                <w:u w:val="single"/>
                <w:lang w:val="en-AU"/>
              </w:rPr>
            </w:pPr>
            <w:r>
              <w:rPr>
                <w:u w:val="single"/>
                <w:lang w:val="en-AU"/>
              </w:rPr>
              <w:t>Asian Development Bank</w:t>
            </w:r>
          </w:p>
          <w:p w:rsidRPr="00F628BE" w:rsidR="0070530A" w:rsidP="0070530A" w:rsidRDefault="0070530A" w14:paraId="5F8D9D34" w14:textId="1F7688EA">
            <w:pPr>
              <w:tabs>
                <w:tab w:val="left" w:pos="3114"/>
              </w:tabs>
              <w:spacing w:line="276" w:lineRule="auto"/>
              <w:rPr>
                <w:i/>
                <w:lang w:val="en-AU"/>
              </w:rPr>
            </w:pPr>
            <w:r w:rsidRPr="00E40B2D">
              <w:rPr>
                <w:i/>
                <w:lang w:val="en-AU"/>
              </w:rPr>
              <w:t>- Involuntary Resettlement</w:t>
            </w:r>
          </w:p>
          <w:p w:rsidRPr="0070530A" w:rsidR="0070530A" w:rsidP="0070530A" w:rsidRDefault="0070530A" w14:paraId="20B07B7A" w14:textId="77777777">
            <w:pPr>
              <w:spacing w:line="276" w:lineRule="auto"/>
              <w:rPr>
                <w:u w:val="single"/>
                <w:lang w:val="en-AU"/>
              </w:rPr>
            </w:pPr>
            <w:r w:rsidRPr="0070530A">
              <w:rPr>
                <w:u w:val="single"/>
                <w:lang w:val="en-AU"/>
              </w:rPr>
              <w:t>European Bank for Reconstruction and Development</w:t>
            </w:r>
          </w:p>
          <w:p w:rsidRPr="00C06DF4" w:rsidR="0070530A" w:rsidP="0070530A" w:rsidRDefault="0070530A" w14:paraId="2D7DC7B8" w14:textId="390FA17C">
            <w:pPr>
              <w:spacing w:line="276" w:lineRule="auto"/>
              <w:rPr>
                <w:i/>
                <w:lang w:val="en-AU"/>
              </w:rPr>
            </w:pPr>
            <w:r w:rsidRPr="0070530A">
              <w:rPr>
                <w:i/>
                <w:lang w:val="en-AU"/>
              </w:rPr>
              <w:t>- PR5: Land Acquisition, Involuntary Resettlement and Economic Displacement</w:t>
            </w:r>
          </w:p>
          <w:p w:rsidR="0070530A" w:rsidP="0070530A" w:rsidRDefault="0070530A" w14:paraId="04F7ECD8" w14:textId="77777777">
            <w:pPr>
              <w:spacing w:line="276" w:lineRule="auto"/>
              <w:rPr>
                <w:u w:val="single"/>
                <w:lang w:val="en-AU"/>
              </w:rPr>
            </w:pPr>
            <w:r>
              <w:rPr>
                <w:u w:val="single"/>
                <w:lang w:val="en-AU"/>
              </w:rPr>
              <w:t>Inter-American Development Bank</w:t>
            </w:r>
          </w:p>
          <w:p w:rsidRPr="0070530A" w:rsidR="0070530A" w:rsidP="0070530A" w:rsidRDefault="0070530A" w14:paraId="37AF1252" w14:textId="65BF614A">
            <w:pPr>
              <w:spacing w:line="276" w:lineRule="auto"/>
              <w:rPr>
                <w:i/>
                <w:lang w:val="en-AU"/>
              </w:rPr>
            </w:pPr>
            <w:r w:rsidRPr="0070530A">
              <w:rPr>
                <w:i/>
                <w:lang w:val="en-AU"/>
              </w:rPr>
              <w:t>-</w:t>
            </w:r>
            <w:r>
              <w:rPr>
                <w:i/>
                <w:lang w:val="en-AU"/>
              </w:rPr>
              <w:t xml:space="preserve"> </w:t>
            </w:r>
            <w:r w:rsidRPr="0070530A">
              <w:rPr>
                <w:i/>
                <w:lang w:val="en-AU"/>
              </w:rPr>
              <w:t>O</w:t>
            </w:r>
            <w:r w:rsidR="00FE4B32">
              <w:rPr>
                <w:i/>
                <w:lang w:val="en-AU"/>
              </w:rPr>
              <w:t>P-710 Involuntary Resettlement</w:t>
            </w:r>
          </w:p>
          <w:p w:rsidRPr="0070530A" w:rsidR="0070530A" w:rsidP="0070530A" w:rsidRDefault="0070530A" w14:paraId="50F9C5C0" w14:textId="525EB26C">
            <w:pPr>
              <w:spacing w:line="276" w:lineRule="auto"/>
              <w:rPr>
                <w:u w:val="single"/>
                <w:lang w:val="en-AU"/>
              </w:rPr>
            </w:pPr>
            <w:r w:rsidRPr="0070530A">
              <w:rPr>
                <w:u w:val="single"/>
                <w:lang w:val="en-AU"/>
              </w:rPr>
              <w:t>International Finance Corporation</w:t>
            </w:r>
          </w:p>
          <w:p w:rsidRPr="0070530A" w:rsidR="0070530A" w:rsidP="00FE4B32" w:rsidRDefault="0070530A" w14:paraId="2112BE22" w14:textId="374E508D">
            <w:pPr>
              <w:spacing w:after="120" w:line="276" w:lineRule="auto"/>
              <w:rPr>
                <w:i/>
                <w:lang w:val="en-AU"/>
              </w:rPr>
            </w:pPr>
            <w:r w:rsidRPr="00C06DF4">
              <w:rPr>
                <w:i/>
                <w:lang w:val="en-AU"/>
              </w:rPr>
              <w:t>-</w:t>
            </w:r>
            <w:r>
              <w:rPr>
                <w:i/>
                <w:lang w:val="en-AU"/>
              </w:rPr>
              <w:t xml:space="preserve"> </w:t>
            </w:r>
            <w:r w:rsidR="00F27F31">
              <w:rPr>
                <w:i/>
                <w:lang w:val="en-AU"/>
              </w:rPr>
              <w:t>PS</w:t>
            </w:r>
            <w:r w:rsidRPr="0070530A">
              <w:rPr>
                <w:i/>
                <w:lang w:val="en-AU"/>
              </w:rPr>
              <w:t>5: Land Acquisition and Involuntary Resettlement</w:t>
            </w:r>
          </w:p>
        </w:tc>
      </w:tr>
      <w:tr w:rsidR="00556B70" w:rsidTr="3A5E98D2" w14:paraId="0677CD0F" w14:textId="77777777">
        <w:tc>
          <w:tcPr>
            <w:tcW w:w="572" w:type="dxa"/>
            <w:tcMar/>
            <w:vAlign w:val="center"/>
          </w:tcPr>
          <w:p w:rsidR="00556B70" w:rsidP="00787E19" w:rsidRDefault="00556B70" w14:paraId="25385E63" w14:textId="10DFE6C9">
            <w:pPr>
              <w:spacing w:line="276" w:lineRule="auto"/>
              <w:jc w:val="center"/>
            </w:pPr>
            <w:r>
              <w:t>C</w:t>
            </w:r>
          </w:p>
        </w:tc>
        <w:tc>
          <w:tcPr>
            <w:tcW w:w="8708" w:type="dxa"/>
            <w:tcMar/>
          </w:tcPr>
          <w:p w:rsidR="00556B70" w:rsidP="00FE4B32" w:rsidRDefault="0070530A" w14:paraId="32085AA6" w14:textId="77777777">
            <w:pPr>
              <w:spacing w:after="120" w:line="276" w:lineRule="auto"/>
              <w:rPr>
                <w:b/>
              </w:rPr>
            </w:pPr>
            <w:r>
              <w:rPr>
                <w:b/>
              </w:rPr>
              <w:t>Indigenous Peoples</w:t>
            </w:r>
          </w:p>
          <w:p w:rsidR="00FE4B32" w:rsidP="00FE4B32" w:rsidRDefault="00FE4B32" w14:paraId="2295B579" w14:textId="77777777">
            <w:pPr>
              <w:tabs>
                <w:tab w:val="left" w:pos="3114"/>
              </w:tabs>
              <w:spacing w:line="276" w:lineRule="auto"/>
              <w:rPr>
                <w:u w:val="single"/>
                <w:lang w:val="en-AU"/>
              </w:rPr>
            </w:pPr>
            <w:r>
              <w:rPr>
                <w:u w:val="single"/>
                <w:lang w:val="en-AU"/>
              </w:rPr>
              <w:t>Asian Development Bank</w:t>
            </w:r>
          </w:p>
          <w:p w:rsidRPr="00F628BE" w:rsidR="00FE4B32" w:rsidP="00FE4B32" w:rsidRDefault="00FE4B32" w14:paraId="645FAF4F" w14:textId="7060F04A">
            <w:pPr>
              <w:tabs>
                <w:tab w:val="left" w:pos="3114"/>
              </w:tabs>
              <w:spacing w:line="276" w:lineRule="auto"/>
              <w:rPr>
                <w:i/>
                <w:lang w:val="en-AU"/>
              </w:rPr>
            </w:pPr>
            <w:r w:rsidRPr="00F628BE">
              <w:rPr>
                <w:i/>
                <w:lang w:val="en-AU"/>
              </w:rPr>
              <w:t>-</w:t>
            </w:r>
            <w:r>
              <w:rPr>
                <w:i/>
                <w:lang w:val="en-AU"/>
              </w:rPr>
              <w:t xml:space="preserve"> </w:t>
            </w:r>
            <w:r w:rsidRPr="00FE4B32">
              <w:rPr>
                <w:i/>
                <w:lang w:val="en-AU"/>
              </w:rPr>
              <w:t>Socioeconomic and Cultural Impacts (Relevant Staff Instructions of 1986)</w:t>
            </w:r>
          </w:p>
          <w:p w:rsidRPr="0070530A" w:rsidR="00FE4B32" w:rsidP="00FE4B32" w:rsidRDefault="00FE4B32" w14:paraId="45D5470F" w14:textId="77777777">
            <w:pPr>
              <w:spacing w:line="276" w:lineRule="auto"/>
              <w:rPr>
                <w:u w:val="single"/>
                <w:lang w:val="en-AU"/>
              </w:rPr>
            </w:pPr>
            <w:r w:rsidRPr="0070530A">
              <w:rPr>
                <w:u w:val="single"/>
                <w:lang w:val="en-AU"/>
              </w:rPr>
              <w:t>European Bank for Reconstruction and Development</w:t>
            </w:r>
          </w:p>
          <w:p w:rsidRPr="00C06DF4" w:rsidR="00FE4B32" w:rsidP="00FE4B32" w:rsidRDefault="00FE4B32" w14:paraId="2213F0BA" w14:textId="04621C51">
            <w:pPr>
              <w:spacing w:line="276" w:lineRule="auto"/>
              <w:rPr>
                <w:i/>
                <w:lang w:val="en-AU"/>
              </w:rPr>
            </w:pPr>
            <w:r>
              <w:rPr>
                <w:i/>
                <w:lang w:val="en-AU"/>
              </w:rPr>
              <w:t>- PR7</w:t>
            </w:r>
            <w:r w:rsidRPr="0070530A">
              <w:rPr>
                <w:i/>
                <w:lang w:val="en-AU"/>
              </w:rPr>
              <w:t xml:space="preserve">: </w:t>
            </w:r>
            <w:r>
              <w:rPr>
                <w:i/>
                <w:lang w:val="en-AU"/>
              </w:rPr>
              <w:t>Indigenous Peoples</w:t>
            </w:r>
          </w:p>
          <w:p w:rsidR="00FE4B32" w:rsidP="00FE4B32" w:rsidRDefault="00FE4B32" w14:paraId="7206E715" w14:textId="77777777">
            <w:pPr>
              <w:spacing w:line="276" w:lineRule="auto"/>
              <w:rPr>
                <w:u w:val="single"/>
                <w:lang w:val="en-AU"/>
              </w:rPr>
            </w:pPr>
            <w:r>
              <w:rPr>
                <w:u w:val="single"/>
                <w:lang w:val="en-AU"/>
              </w:rPr>
              <w:t>Inter-American Development Bank</w:t>
            </w:r>
          </w:p>
          <w:p w:rsidRPr="0070530A" w:rsidR="00FE4B32" w:rsidP="00FE4B32" w:rsidRDefault="00FE4B32" w14:paraId="0DDC16D4" w14:textId="2DFC1524">
            <w:pPr>
              <w:spacing w:line="276" w:lineRule="auto"/>
              <w:rPr>
                <w:i/>
                <w:lang w:val="en-AU"/>
              </w:rPr>
            </w:pPr>
            <w:r w:rsidRPr="0070530A">
              <w:rPr>
                <w:i/>
                <w:lang w:val="en-AU"/>
              </w:rPr>
              <w:t>-</w:t>
            </w:r>
            <w:r>
              <w:rPr>
                <w:i/>
                <w:lang w:val="en-AU"/>
              </w:rPr>
              <w:t xml:space="preserve"> OP-765 Indigenous Peoples</w:t>
            </w:r>
          </w:p>
          <w:p w:rsidRPr="0070530A" w:rsidR="00FE4B32" w:rsidP="00FE4B32" w:rsidRDefault="00FE4B32" w14:paraId="4F6482C7" w14:textId="77777777">
            <w:pPr>
              <w:spacing w:line="276" w:lineRule="auto"/>
              <w:rPr>
                <w:u w:val="single"/>
                <w:lang w:val="en-AU"/>
              </w:rPr>
            </w:pPr>
            <w:r w:rsidRPr="0070530A">
              <w:rPr>
                <w:u w:val="single"/>
                <w:lang w:val="en-AU"/>
              </w:rPr>
              <w:t>International Finance Corporation</w:t>
            </w:r>
          </w:p>
          <w:p w:rsidRPr="0070530A" w:rsidR="00FE4B32" w:rsidP="00FE4B32" w:rsidRDefault="00FE4B32" w14:paraId="7E89C5D7" w14:textId="1A58A281">
            <w:pPr>
              <w:spacing w:after="120" w:line="276" w:lineRule="auto"/>
              <w:rPr>
                <w:b/>
              </w:rPr>
            </w:pPr>
            <w:r w:rsidRPr="00C06DF4">
              <w:rPr>
                <w:i/>
                <w:lang w:val="en-AU"/>
              </w:rPr>
              <w:t>-</w:t>
            </w:r>
            <w:r w:rsidR="00F27F31">
              <w:rPr>
                <w:i/>
                <w:lang w:val="en-AU"/>
              </w:rPr>
              <w:t xml:space="preserve"> PS</w:t>
            </w:r>
            <w:r>
              <w:rPr>
                <w:i/>
                <w:lang w:val="en-AU"/>
              </w:rPr>
              <w:t>7</w:t>
            </w:r>
            <w:r w:rsidRPr="0070530A">
              <w:rPr>
                <w:i/>
                <w:lang w:val="en-AU"/>
              </w:rPr>
              <w:t xml:space="preserve">: </w:t>
            </w:r>
            <w:r>
              <w:rPr>
                <w:i/>
                <w:lang w:val="en-AU"/>
              </w:rPr>
              <w:t>Indigenous Peoples</w:t>
            </w:r>
          </w:p>
        </w:tc>
      </w:tr>
      <w:tr w:rsidR="00556B70" w:rsidTr="3A5E98D2" w14:paraId="3F14F62C" w14:textId="77777777">
        <w:tc>
          <w:tcPr>
            <w:tcW w:w="572" w:type="dxa"/>
            <w:tcMar/>
            <w:vAlign w:val="center"/>
          </w:tcPr>
          <w:p w:rsidR="00556B70" w:rsidP="00787E19" w:rsidRDefault="00556B70" w14:paraId="3D0266FB" w14:textId="7BD57568">
            <w:pPr>
              <w:spacing w:line="276" w:lineRule="auto"/>
              <w:jc w:val="center"/>
            </w:pPr>
            <w:r>
              <w:t>D</w:t>
            </w:r>
          </w:p>
        </w:tc>
        <w:tc>
          <w:tcPr>
            <w:tcW w:w="8708" w:type="dxa"/>
            <w:tcMar/>
          </w:tcPr>
          <w:p w:rsidR="00556B70" w:rsidP="00FE4B32" w:rsidRDefault="0070530A" w14:paraId="76328CD0" w14:textId="77777777">
            <w:pPr>
              <w:spacing w:after="120" w:line="276" w:lineRule="auto"/>
              <w:rPr>
                <w:b/>
              </w:rPr>
            </w:pPr>
            <w:r>
              <w:rPr>
                <w:b/>
              </w:rPr>
              <w:t>Gender and Development</w:t>
            </w:r>
          </w:p>
          <w:p w:rsidR="00F27F31" w:rsidP="00F27F31" w:rsidRDefault="00F27F31" w14:paraId="51BF2099" w14:textId="1F2396FE">
            <w:pPr>
              <w:tabs>
                <w:tab w:val="left" w:pos="3114"/>
              </w:tabs>
              <w:spacing w:line="276" w:lineRule="auto"/>
              <w:rPr>
                <w:lang w:val="en-AU"/>
              </w:rPr>
            </w:pPr>
            <w:r w:rsidRPr="00787E19">
              <w:rPr>
                <w:u w:val="single"/>
                <w:lang w:val="en-AU"/>
              </w:rPr>
              <w:t>African Development Bank</w:t>
            </w:r>
          </w:p>
          <w:p w:rsidR="00F27F31" w:rsidP="00F27F31" w:rsidRDefault="00F27F31" w14:paraId="2C525FEE" w14:textId="2CDE9B9A">
            <w:pPr>
              <w:tabs>
                <w:tab w:val="left" w:pos="3114"/>
              </w:tabs>
              <w:spacing w:line="276" w:lineRule="auto"/>
              <w:rPr>
                <w:i/>
                <w:lang w:val="en-AU"/>
              </w:rPr>
            </w:pPr>
            <w:r>
              <w:rPr>
                <w:i/>
                <w:lang w:val="en-AU"/>
              </w:rPr>
              <w:lastRenderedPageBreak/>
              <w:t xml:space="preserve">- </w:t>
            </w:r>
            <w:r w:rsidR="0044106A">
              <w:rPr>
                <w:i/>
                <w:lang w:val="en-AU"/>
              </w:rPr>
              <w:t xml:space="preserve">C2: </w:t>
            </w:r>
            <w:r>
              <w:rPr>
                <w:i/>
                <w:lang w:val="en-AU"/>
              </w:rPr>
              <w:t>Gender Policy</w:t>
            </w:r>
          </w:p>
          <w:p w:rsidR="00F27F31" w:rsidP="00F27F31" w:rsidRDefault="00F27F31" w14:paraId="6F36F8D6" w14:textId="77777777">
            <w:pPr>
              <w:tabs>
                <w:tab w:val="left" w:pos="3114"/>
              </w:tabs>
              <w:spacing w:line="276" w:lineRule="auto"/>
              <w:rPr>
                <w:u w:val="single"/>
                <w:lang w:val="en-AU"/>
              </w:rPr>
            </w:pPr>
            <w:r>
              <w:rPr>
                <w:u w:val="single"/>
                <w:lang w:val="en-AU"/>
              </w:rPr>
              <w:t>Asian Development Bank</w:t>
            </w:r>
          </w:p>
          <w:p w:rsidR="00FE4B32" w:rsidP="00F27F31" w:rsidRDefault="00F27F31" w14:paraId="3D8C1674" w14:textId="77777777">
            <w:pPr>
              <w:tabs>
                <w:tab w:val="left" w:pos="3114"/>
              </w:tabs>
              <w:spacing w:after="120" w:line="276" w:lineRule="auto"/>
              <w:rPr>
                <w:i/>
                <w:lang w:val="en-AU"/>
              </w:rPr>
            </w:pPr>
            <w:r w:rsidRPr="00F628BE">
              <w:rPr>
                <w:i/>
                <w:lang w:val="en-AU"/>
              </w:rPr>
              <w:t>-</w:t>
            </w:r>
            <w:r>
              <w:rPr>
                <w:i/>
                <w:lang w:val="en-AU"/>
              </w:rPr>
              <w:t xml:space="preserve"> </w:t>
            </w:r>
            <w:r w:rsidR="00E40B2D">
              <w:rPr>
                <w:i/>
                <w:lang w:val="en-AU"/>
              </w:rPr>
              <w:t xml:space="preserve">C2: </w:t>
            </w:r>
            <w:r w:rsidRPr="00F27F31">
              <w:rPr>
                <w:i/>
                <w:lang w:val="en-AU"/>
              </w:rPr>
              <w:t>Gender and Development in Bank Operations</w:t>
            </w:r>
          </w:p>
          <w:p w:rsidR="00FE19A8" w:rsidP="00F27F31" w:rsidRDefault="00FE19A8" w14:paraId="78C66064" w14:textId="77777777">
            <w:pPr>
              <w:tabs>
                <w:tab w:val="left" w:pos="3114"/>
              </w:tabs>
              <w:spacing w:after="120" w:line="276" w:lineRule="auto"/>
              <w:rPr>
                <w:iCs/>
                <w:u w:val="single"/>
                <w:lang w:val="en-AU"/>
              </w:rPr>
            </w:pPr>
            <w:r>
              <w:rPr>
                <w:iCs/>
                <w:u w:val="single"/>
                <w:lang w:val="en-AU"/>
              </w:rPr>
              <w:t>Inter-American Development Bank</w:t>
            </w:r>
          </w:p>
          <w:p w:rsidRPr="00D80C35" w:rsidR="00FB53F6" w:rsidP="00F27F31" w:rsidRDefault="00FB53F6" w14:paraId="20357D4F" w14:textId="3C174015">
            <w:pPr>
              <w:tabs>
                <w:tab w:val="left" w:pos="3114"/>
              </w:tabs>
              <w:spacing w:after="120" w:line="276" w:lineRule="auto"/>
              <w:rPr>
                <w:i/>
                <w:iCs/>
                <w:lang w:val="en-AU"/>
              </w:rPr>
            </w:pPr>
            <w:r w:rsidRPr="00D80C35">
              <w:rPr>
                <w:i/>
                <w:iCs/>
              </w:rPr>
              <w:t>- OP-761 Operational Policy on Gender Equality in Development</w:t>
            </w:r>
          </w:p>
        </w:tc>
      </w:tr>
      <w:tr w:rsidR="00556B70" w:rsidTr="3A5E98D2" w14:paraId="7D94AB96" w14:textId="77777777">
        <w:tc>
          <w:tcPr>
            <w:tcW w:w="572" w:type="dxa"/>
            <w:tcMar/>
            <w:vAlign w:val="center"/>
          </w:tcPr>
          <w:p w:rsidR="00556B70" w:rsidP="00787E19" w:rsidRDefault="00556B70" w14:paraId="2234D1D9" w14:textId="519AFD0D">
            <w:pPr>
              <w:spacing w:line="276" w:lineRule="auto"/>
              <w:jc w:val="center"/>
            </w:pPr>
            <w:r>
              <w:lastRenderedPageBreak/>
              <w:t>E</w:t>
            </w:r>
          </w:p>
        </w:tc>
        <w:tc>
          <w:tcPr>
            <w:tcW w:w="8708" w:type="dxa"/>
            <w:tcMar/>
          </w:tcPr>
          <w:p w:rsidR="00556B70" w:rsidP="3A5E98D2" w:rsidRDefault="0070530A" w14:paraId="5A607477" w14:textId="77777777">
            <w:pPr>
              <w:spacing w:after="120" w:line="276" w:lineRule="auto"/>
              <w:rPr>
                <w:b w:val="1"/>
                <w:bCs w:val="1"/>
              </w:rPr>
            </w:pPr>
            <w:r w:rsidRPr="3A5E98D2" w:rsidR="0070530A">
              <w:rPr>
                <w:b w:val="1"/>
                <w:bCs w:val="1"/>
              </w:rPr>
              <w:t>Physical Cultural Resources</w:t>
            </w:r>
          </w:p>
          <w:p w:rsidRPr="0070530A" w:rsidR="00F27F31" w:rsidP="00F27F31" w:rsidRDefault="00F27F31" w14:paraId="57F6F214" w14:textId="77777777">
            <w:pPr>
              <w:spacing w:line="276" w:lineRule="auto"/>
              <w:rPr>
                <w:u w:val="single"/>
                <w:lang w:val="en-AU"/>
              </w:rPr>
            </w:pPr>
            <w:r w:rsidRPr="3A5E98D2" w:rsidR="00F27F31">
              <w:rPr>
                <w:u w:val="single"/>
                <w:lang w:val="en-AU"/>
              </w:rPr>
              <w:t>European Bank for Reconstruction and Development</w:t>
            </w:r>
          </w:p>
          <w:p w:rsidRPr="00C06DF4" w:rsidR="00F27F31" w:rsidP="3A5E98D2" w:rsidRDefault="00F27F31" w14:paraId="37B1D8AF" w14:textId="402DAB2A">
            <w:pPr>
              <w:spacing w:line="276" w:lineRule="auto"/>
              <w:rPr>
                <w:i w:val="1"/>
                <w:iCs w:val="1"/>
                <w:lang w:val="en-AU"/>
              </w:rPr>
            </w:pPr>
            <w:r w:rsidRPr="3A5E98D2" w:rsidR="00F27F31">
              <w:rPr>
                <w:i w:val="1"/>
                <w:iCs w:val="1"/>
                <w:lang w:val="en-AU"/>
              </w:rPr>
              <w:t xml:space="preserve">- </w:t>
            </w:r>
            <w:r w:rsidRPr="3A5E98D2" w:rsidR="00F27F31">
              <w:rPr>
                <w:i w:val="1"/>
                <w:iCs w:val="1"/>
                <w:lang w:val="en-AU"/>
              </w:rPr>
              <w:t>PR8: Cultural Heritage</w:t>
            </w:r>
          </w:p>
          <w:p w:rsidRPr="0070530A" w:rsidR="00F27F31" w:rsidP="00F27F31" w:rsidRDefault="00F27F31" w14:paraId="162E5D87" w14:textId="77777777">
            <w:pPr>
              <w:spacing w:line="276" w:lineRule="auto"/>
              <w:rPr>
                <w:u w:val="single"/>
                <w:lang w:val="en-AU"/>
              </w:rPr>
            </w:pPr>
            <w:r w:rsidRPr="3A5E98D2" w:rsidR="00F27F31">
              <w:rPr>
                <w:u w:val="single"/>
                <w:lang w:val="en-AU"/>
              </w:rPr>
              <w:t>International Finance Corporation</w:t>
            </w:r>
          </w:p>
          <w:p w:rsidRPr="0070530A" w:rsidR="00F27F31" w:rsidP="3A5E98D2" w:rsidRDefault="00F27F31" w14:paraId="5F633FD5" w14:textId="0B554E62">
            <w:pPr>
              <w:spacing w:after="120" w:line="276" w:lineRule="auto"/>
              <w:rPr>
                <w:b w:val="1"/>
                <w:bCs w:val="1"/>
              </w:rPr>
            </w:pPr>
            <w:r w:rsidRPr="3A5E98D2" w:rsidR="00F27F31">
              <w:rPr>
                <w:i w:val="1"/>
                <w:iCs w:val="1"/>
                <w:lang w:val="en-AU"/>
              </w:rPr>
              <w:t>-</w:t>
            </w:r>
            <w:r w:rsidRPr="3A5E98D2" w:rsidR="00F27F31">
              <w:rPr>
                <w:i w:val="1"/>
                <w:iCs w:val="1"/>
                <w:lang w:val="en-AU"/>
              </w:rPr>
              <w:t xml:space="preserve"> PS</w:t>
            </w:r>
            <w:r w:rsidRPr="3A5E98D2" w:rsidR="00F27F31">
              <w:rPr>
                <w:i w:val="1"/>
                <w:iCs w:val="1"/>
                <w:lang w:val="en-AU"/>
              </w:rPr>
              <w:t>8: Cultural Heritage</w:t>
            </w:r>
          </w:p>
        </w:tc>
      </w:tr>
      <w:tr w:rsidR="00556B70" w:rsidTr="3A5E98D2" w14:paraId="48153DB0" w14:textId="77777777">
        <w:tc>
          <w:tcPr>
            <w:tcW w:w="572" w:type="dxa"/>
            <w:tcMar/>
            <w:vAlign w:val="center"/>
          </w:tcPr>
          <w:p w:rsidR="00556B70" w:rsidP="00787E19" w:rsidRDefault="00556B70" w14:paraId="4B879832" w14:textId="6280DB49">
            <w:pPr>
              <w:spacing w:line="276" w:lineRule="auto"/>
              <w:jc w:val="center"/>
            </w:pPr>
            <w:r>
              <w:t>F</w:t>
            </w:r>
          </w:p>
        </w:tc>
        <w:tc>
          <w:tcPr>
            <w:tcW w:w="8708" w:type="dxa"/>
            <w:tcMar/>
          </w:tcPr>
          <w:p w:rsidR="00556B70" w:rsidP="3A5E98D2" w:rsidRDefault="0070530A" w14:paraId="78AB0584" w14:textId="77777777">
            <w:pPr>
              <w:spacing w:after="120" w:line="276" w:lineRule="auto"/>
              <w:rPr>
                <w:b w:val="1"/>
                <w:bCs w:val="1"/>
              </w:rPr>
            </w:pPr>
            <w:r w:rsidRPr="3A5E98D2" w:rsidR="0070530A">
              <w:rPr>
                <w:b w:val="1"/>
                <w:bCs w:val="1"/>
              </w:rPr>
              <w:t>Natural Habitats</w:t>
            </w:r>
          </w:p>
          <w:p w:rsidR="00E23B34" w:rsidP="00F27F31" w:rsidRDefault="00E23B34" w14:paraId="372743ED" w14:textId="06C7DAD7">
            <w:pPr>
              <w:spacing w:line="276" w:lineRule="auto"/>
              <w:rPr>
                <w:u w:val="single"/>
                <w:lang w:val="en-AU"/>
              </w:rPr>
            </w:pPr>
            <w:r w:rsidRPr="3A5E98D2" w:rsidR="00E23B34">
              <w:rPr>
                <w:u w:val="single"/>
                <w:lang w:val="en-AU"/>
              </w:rPr>
              <w:t>African Development Bank</w:t>
            </w:r>
          </w:p>
          <w:p w:rsidRPr="00E23B34" w:rsidR="00E23B34" w:rsidP="3A5E98D2" w:rsidRDefault="00E23B34" w14:paraId="3C232839" w14:textId="3FC2F006">
            <w:pPr>
              <w:rPr>
                <w:i w:val="1"/>
                <w:iCs w:val="1"/>
              </w:rPr>
            </w:pPr>
            <w:r w:rsidRPr="3A5E98D2" w:rsidR="00E23B34">
              <w:rPr>
                <w:b w:val="1"/>
                <w:bCs w:val="1"/>
                <w:i w:val="1"/>
                <w:iCs w:val="1"/>
                <w:lang w:val="en-AU"/>
              </w:rPr>
              <w:t xml:space="preserve">- </w:t>
            </w:r>
            <w:r w:rsidRPr="3A5E98D2" w:rsidR="00E23B34">
              <w:rPr>
                <w:i w:val="1"/>
                <w:iCs w:val="1"/>
              </w:rPr>
              <w:t>OS 3: Biodiversity and Ecosystem Services</w:t>
            </w:r>
          </w:p>
          <w:p w:rsidRPr="0070530A" w:rsidR="00F27F31" w:rsidP="00F27F31" w:rsidRDefault="00F27F31" w14:paraId="520F6D69" w14:textId="2B820C86">
            <w:pPr>
              <w:spacing w:line="276" w:lineRule="auto"/>
              <w:rPr>
                <w:u w:val="single"/>
                <w:lang w:val="en-AU"/>
              </w:rPr>
            </w:pPr>
            <w:r w:rsidRPr="3A5E98D2" w:rsidR="00F27F31">
              <w:rPr>
                <w:u w:val="single"/>
                <w:lang w:val="en-AU"/>
              </w:rPr>
              <w:t>European Bank for Reconstruction and Development</w:t>
            </w:r>
          </w:p>
          <w:p w:rsidRPr="00C06DF4" w:rsidR="00F27F31" w:rsidP="3A5E98D2" w:rsidRDefault="00F27F31" w14:paraId="34E531FB" w14:textId="0D82B3DD">
            <w:pPr>
              <w:spacing w:line="276" w:lineRule="auto"/>
              <w:rPr>
                <w:i w:val="1"/>
                <w:iCs w:val="1"/>
                <w:lang w:val="en-AU"/>
              </w:rPr>
            </w:pPr>
            <w:r w:rsidRPr="3A5E98D2" w:rsidR="00F27F31">
              <w:rPr>
                <w:i w:val="1"/>
                <w:iCs w:val="1"/>
                <w:lang w:val="en-AU"/>
              </w:rPr>
              <w:t>- PR6</w:t>
            </w:r>
            <w:r w:rsidRPr="3A5E98D2" w:rsidR="00F27F31">
              <w:rPr>
                <w:i w:val="1"/>
                <w:iCs w:val="1"/>
                <w:lang w:val="en-AU"/>
              </w:rPr>
              <w:t>: Biodiversity Conservation and Sustainable Management of Living Natural Resources</w:t>
            </w:r>
          </w:p>
          <w:p w:rsidRPr="0070530A" w:rsidR="00F27F31" w:rsidP="00F27F31" w:rsidRDefault="00F27F31" w14:paraId="57BB460B" w14:textId="77777777">
            <w:pPr>
              <w:spacing w:line="276" w:lineRule="auto"/>
              <w:rPr>
                <w:u w:val="single"/>
                <w:lang w:val="en-AU"/>
              </w:rPr>
            </w:pPr>
            <w:r w:rsidRPr="3A5E98D2" w:rsidR="00F27F31">
              <w:rPr>
                <w:u w:val="single"/>
                <w:lang w:val="en-AU"/>
              </w:rPr>
              <w:t>International Finance Corporation</w:t>
            </w:r>
          </w:p>
          <w:p w:rsidRPr="0070530A" w:rsidR="00F27F31" w:rsidP="3A5E98D2" w:rsidRDefault="00F27F31" w14:paraId="2BE69600" w14:textId="3ADB4CBD">
            <w:pPr>
              <w:spacing w:after="120" w:line="276" w:lineRule="auto"/>
              <w:rPr>
                <w:b w:val="1"/>
                <w:bCs w:val="1"/>
              </w:rPr>
            </w:pPr>
            <w:r w:rsidRPr="3A5E98D2" w:rsidR="00F27F31">
              <w:rPr>
                <w:i w:val="1"/>
                <w:iCs w:val="1"/>
                <w:lang w:val="en-AU"/>
              </w:rPr>
              <w:t>-</w:t>
            </w:r>
            <w:r w:rsidRPr="3A5E98D2" w:rsidR="00F27F31">
              <w:rPr>
                <w:i w:val="1"/>
                <w:iCs w:val="1"/>
                <w:lang w:val="en-AU"/>
              </w:rPr>
              <w:t xml:space="preserve"> PS6</w:t>
            </w:r>
            <w:r w:rsidRPr="3A5E98D2" w:rsidR="00F27F31">
              <w:rPr>
                <w:i w:val="1"/>
                <w:iCs w:val="1"/>
                <w:lang w:val="en-AU"/>
              </w:rPr>
              <w:t>: Biodiversity Conservation and Sustainable Management of Living Natural Resources</w:t>
            </w:r>
          </w:p>
        </w:tc>
      </w:tr>
      <w:tr w:rsidR="00556B70" w:rsidTr="3A5E98D2" w14:paraId="66639408" w14:textId="77777777">
        <w:tc>
          <w:tcPr>
            <w:tcW w:w="572" w:type="dxa"/>
            <w:tcMar/>
            <w:vAlign w:val="center"/>
          </w:tcPr>
          <w:p w:rsidR="00556B70" w:rsidP="00787E19" w:rsidRDefault="00556B70" w14:paraId="71EC71E9" w14:textId="5D7E1794">
            <w:pPr>
              <w:spacing w:line="276" w:lineRule="auto"/>
              <w:jc w:val="center"/>
            </w:pPr>
            <w:r>
              <w:t>G</w:t>
            </w:r>
          </w:p>
        </w:tc>
        <w:tc>
          <w:tcPr>
            <w:tcW w:w="8708" w:type="dxa"/>
            <w:tcMar/>
          </w:tcPr>
          <w:p w:rsidR="00556B70" w:rsidP="3A5E98D2" w:rsidRDefault="0070530A" w14:paraId="64ABA1E8" w14:textId="77777777">
            <w:pPr>
              <w:spacing w:after="120" w:line="276" w:lineRule="auto"/>
              <w:rPr>
                <w:b w:val="1"/>
                <w:bCs w:val="1"/>
              </w:rPr>
            </w:pPr>
            <w:r w:rsidRPr="3A5E98D2" w:rsidR="0070530A">
              <w:rPr>
                <w:b w:val="1"/>
                <w:bCs w:val="1"/>
              </w:rPr>
              <w:t>Water Resource Management</w:t>
            </w:r>
          </w:p>
          <w:p w:rsidR="00E77EF8" w:rsidP="00E77EF8" w:rsidRDefault="00E77EF8" w14:paraId="7AC8EF10" w14:textId="2BCADC70">
            <w:pPr>
              <w:tabs>
                <w:tab w:val="left" w:pos="3114"/>
              </w:tabs>
              <w:spacing w:line="276" w:lineRule="auto"/>
              <w:rPr>
                <w:lang w:val="en-AU"/>
              </w:rPr>
            </w:pPr>
            <w:r w:rsidRPr="3A5E98D2" w:rsidR="00E77EF8">
              <w:rPr>
                <w:u w:val="single"/>
                <w:lang w:val="en-AU"/>
              </w:rPr>
              <w:t>African Development Bank</w:t>
            </w:r>
          </w:p>
          <w:p w:rsidRPr="00E77EF8" w:rsidR="00F27F31" w:rsidP="3A5E98D2" w:rsidRDefault="00E77EF8" w14:paraId="16DAE3D8" w14:textId="38ACBE37">
            <w:pPr>
              <w:spacing w:after="120" w:line="276" w:lineRule="auto"/>
              <w:rPr>
                <w:i w:val="1"/>
                <w:iCs w:val="1"/>
              </w:rPr>
            </w:pPr>
            <w:r w:rsidRPr="3A5E98D2" w:rsidR="00E77EF8">
              <w:rPr>
                <w:i w:val="1"/>
                <w:iCs w:val="1"/>
                <w:lang w:val="en-AU"/>
              </w:rPr>
              <w:t xml:space="preserve">- </w:t>
            </w:r>
            <w:r w:rsidRPr="3A5E98D2" w:rsidR="00E77EF8">
              <w:rPr>
                <w:i w:val="1"/>
                <w:iCs w:val="1"/>
                <w:lang w:val="en-AU"/>
              </w:rPr>
              <w:t>Integrated Water Resource Management Policy</w:t>
            </w:r>
          </w:p>
        </w:tc>
      </w:tr>
      <w:tr w:rsidR="00556B70" w:rsidTr="3A5E98D2" w14:paraId="38B05656" w14:textId="77777777">
        <w:tc>
          <w:tcPr>
            <w:tcW w:w="572" w:type="dxa"/>
            <w:tcMar/>
            <w:vAlign w:val="center"/>
          </w:tcPr>
          <w:p w:rsidR="00556B70" w:rsidP="00787E19" w:rsidRDefault="00556B70" w14:paraId="1532EA73" w14:textId="5224C301">
            <w:pPr>
              <w:spacing w:line="276" w:lineRule="auto"/>
              <w:jc w:val="center"/>
            </w:pPr>
            <w:r>
              <w:t>H</w:t>
            </w:r>
          </w:p>
        </w:tc>
        <w:tc>
          <w:tcPr>
            <w:tcW w:w="8708" w:type="dxa"/>
            <w:tcMar/>
          </w:tcPr>
          <w:p w:rsidR="00556B70" w:rsidP="3A5E98D2" w:rsidRDefault="0070530A" w14:paraId="0988265C" w14:textId="71A52431">
            <w:pPr>
              <w:spacing w:after="120" w:line="276" w:lineRule="auto"/>
              <w:rPr>
                <w:b w:val="1"/>
                <w:bCs w:val="1"/>
              </w:rPr>
            </w:pPr>
            <w:r w:rsidRPr="3A5E98D2" w:rsidR="0070530A">
              <w:rPr>
                <w:b w:val="1"/>
                <w:bCs w:val="1"/>
              </w:rPr>
              <w:t>Poverty Reduction</w:t>
            </w:r>
          </w:p>
          <w:p w:rsidR="00CA164A" w:rsidP="3A5E98D2" w:rsidRDefault="00CA164A" w14:paraId="676A701F" w14:textId="790B4B0F">
            <w:pPr>
              <w:spacing w:after="120" w:line="276" w:lineRule="auto"/>
              <w:rPr>
                <w:u w:val="single"/>
              </w:rPr>
            </w:pPr>
            <w:r w:rsidRPr="3A5E98D2" w:rsidR="00CA164A">
              <w:rPr>
                <w:u w:val="single"/>
              </w:rPr>
              <w:t>Asian Development Bank</w:t>
            </w:r>
          </w:p>
          <w:p w:rsidRPr="00CA164A" w:rsidR="00CA164A" w:rsidP="3A5E98D2" w:rsidRDefault="00CA164A" w14:paraId="414B85FF" w14:textId="0E09C307">
            <w:pPr>
              <w:spacing w:after="120" w:line="276" w:lineRule="auto"/>
            </w:pPr>
            <w:r w:rsidRPr="3A5E98D2" w:rsidR="00CA164A">
              <w:rPr>
                <w:i w:val="1"/>
                <w:iCs w:val="1"/>
              </w:rPr>
              <w:t xml:space="preserve">- </w:t>
            </w:r>
            <w:r w:rsidR="00CA164A">
              <w:rPr/>
              <w:t>OM C1 Poverty Reduction 2004</w:t>
            </w:r>
          </w:p>
          <w:p w:rsidR="00E77EF8" w:rsidP="00E77EF8" w:rsidRDefault="00E77EF8" w14:paraId="480049F8" w14:textId="77777777">
            <w:pPr>
              <w:tabs>
                <w:tab w:val="left" w:pos="3114"/>
              </w:tabs>
              <w:spacing w:line="276" w:lineRule="auto"/>
              <w:rPr>
                <w:lang w:val="en-AU"/>
              </w:rPr>
            </w:pPr>
            <w:r w:rsidRPr="3A5E98D2" w:rsidR="00E77EF8">
              <w:rPr>
                <w:u w:val="single"/>
                <w:lang w:val="en-AU"/>
              </w:rPr>
              <w:t>African Development Bank</w:t>
            </w:r>
            <w:r w:rsidRPr="3A5E98D2" w:rsidR="00E77EF8">
              <w:rPr>
                <w:u w:val="single"/>
                <w:lang w:val="en-AU"/>
              </w:rPr>
              <w:t>:</w:t>
            </w:r>
          </w:p>
          <w:p w:rsidRPr="0070530A" w:rsidR="00E77EF8" w:rsidP="3A5E98D2" w:rsidRDefault="00E77EF8" w14:paraId="5D58F4B3" w14:textId="712578FD">
            <w:pPr>
              <w:spacing w:after="120" w:line="276" w:lineRule="auto"/>
              <w:rPr>
                <w:b w:val="1"/>
                <w:bCs w:val="1"/>
              </w:rPr>
            </w:pPr>
            <w:r w:rsidRPr="3A5E98D2" w:rsidR="00E77EF8">
              <w:rPr>
                <w:i w:val="1"/>
                <w:iCs w:val="1"/>
                <w:lang w:val="en-AU"/>
              </w:rPr>
              <w:t xml:space="preserve">- </w:t>
            </w:r>
            <w:r w:rsidRPr="3A5E98D2" w:rsidR="00E77EF8">
              <w:rPr>
                <w:i w:val="1"/>
                <w:iCs w:val="1"/>
                <w:lang w:val="en-AU"/>
              </w:rPr>
              <w:t>Policy</w:t>
            </w:r>
            <w:r w:rsidRPr="3A5E98D2" w:rsidR="00E77EF8">
              <w:rPr>
                <w:i w:val="1"/>
                <w:iCs w:val="1"/>
                <w:lang w:val="en-AU"/>
              </w:rPr>
              <w:t xml:space="preserve"> on Poverty Reduction</w:t>
            </w:r>
          </w:p>
        </w:tc>
      </w:tr>
      <w:tr w:rsidR="00556B70" w:rsidTr="3A5E98D2" w14:paraId="30891EBD" w14:textId="77777777">
        <w:tc>
          <w:tcPr>
            <w:tcW w:w="572" w:type="dxa"/>
            <w:tcMar/>
            <w:vAlign w:val="center"/>
          </w:tcPr>
          <w:p w:rsidR="00556B70" w:rsidP="00787E19" w:rsidRDefault="00556B70" w14:paraId="5FECFCE1" w14:textId="7F9B754A">
            <w:pPr>
              <w:spacing w:line="276" w:lineRule="auto"/>
              <w:jc w:val="center"/>
            </w:pPr>
            <w:r>
              <w:t>I</w:t>
            </w:r>
          </w:p>
        </w:tc>
        <w:tc>
          <w:tcPr>
            <w:tcW w:w="8708" w:type="dxa"/>
            <w:tcMar/>
          </w:tcPr>
          <w:p w:rsidR="00556B70" w:rsidP="3A5E98D2" w:rsidRDefault="0070530A" w14:paraId="459F6531" w14:textId="77777777">
            <w:pPr>
              <w:spacing w:after="120" w:line="276" w:lineRule="auto"/>
              <w:rPr>
                <w:b w:val="1"/>
                <w:bCs w:val="1"/>
              </w:rPr>
            </w:pPr>
            <w:r w:rsidRPr="3A5E98D2" w:rsidR="0070530A">
              <w:rPr>
                <w:b w:val="1"/>
                <w:bCs w:val="1"/>
              </w:rPr>
              <w:t>Public Consultation/Access to Information/Disclosure of Information</w:t>
            </w:r>
          </w:p>
          <w:p w:rsidR="00E77EF8" w:rsidP="00E77EF8" w:rsidRDefault="00E77EF8" w14:paraId="543D1DC1" w14:textId="77777777">
            <w:pPr>
              <w:tabs>
                <w:tab w:val="left" w:pos="3114"/>
              </w:tabs>
              <w:spacing w:line="276" w:lineRule="auto"/>
              <w:rPr>
                <w:lang w:val="en-AU"/>
              </w:rPr>
            </w:pPr>
            <w:r w:rsidRPr="3A5E98D2" w:rsidR="00E77EF8">
              <w:rPr>
                <w:u w:val="single"/>
                <w:lang w:val="en-AU"/>
              </w:rPr>
              <w:t>African Development Bank</w:t>
            </w:r>
            <w:r w:rsidRPr="3A5E98D2" w:rsidR="00E77EF8">
              <w:rPr>
                <w:u w:val="single"/>
                <w:lang w:val="en-AU"/>
              </w:rPr>
              <w:t>:</w:t>
            </w:r>
          </w:p>
          <w:p w:rsidR="00E77EF8" w:rsidP="3A5E98D2" w:rsidRDefault="00E77EF8" w14:paraId="47AB65F5" w14:textId="60806387">
            <w:pPr>
              <w:tabs>
                <w:tab w:val="left" w:pos="3114"/>
              </w:tabs>
              <w:spacing w:line="276" w:lineRule="auto"/>
              <w:rPr>
                <w:i w:val="1"/>
                <w:iCs w:val="1"/>
                <w:lang w:val="en-AU"/>
              </w:rPr>
            </w:pPr>
            <w:r w:rsidRPr="3A5E98D2" w:rsidR="00E77EF8">
              <w:rPr>
                <w:i w:val="1"/>
                <w:iCs w:val="1"/>
                <w:lang w:val="en-AU"/>
              </w:rPr>
              <w:t xml:space="preserve">- </w:t>
            </w:r>
            <w:r w:rsidRPr="3A5E98D2" w:rsidR="00E77EF8">
              <w:rPr>
                <w:i w:val="1"/>
                <w:iCs w:val="1"/>
                <w:lang w:val="en-AU"/>
              </w:rPr>
              <w:t>Handbook on Stakeholder Consultation and Participation in A</w:t>
            </w:r>
            <w:r w:rsidRPr="3A5E98D2" w:rsidR="00E77EF8">
              <w:rPr>
                <w:i w:val="1"/>
                <w:iCs w:val="1"/>
                <w:lang w:val="en-AU"/>
              </w:rPr>
              <w:t>f</w:t>
            </w:r>
            <w:r w:rsidRPr="3A5E98D2" w:rsidR="00E77EF8">
              <w:rPr>
                <w:i w:val="1"/>
                <w:iCs w:val="1"/>
                <w:lang w:val="en-AU"/>
              </w:rPr>
              <w:t>DB Operations</w:t>
            </w:r>
          </w:p>
          <w:p w:rsidR="00B56CEC" w:rsidP="3A5E98D2" w:rsidRDefault="00B56CEC" w14:paraId="387713FA" w14:textId="1058CC5A">
            <w:pPr>
              <w:tabs>
                <w:tab w:val="left" w:pos="3114"/>
              </w:tabs>
              <w:spacing w:line="276" w:lineRule="auto"/>
              <w:rPr>
                <w:i w:val="1"/>
                <w:iCs w:val="1"/>
                <w:lang w:val="en-AU"/>
              </w:rPr>
            </w:pPr>
            <w:r w:rsidRPr="3A5E98D2" w:rsidR="00B56CEC">
              <w:rPr>
                <w:i w:val="1"/>
                <w:iCs w:val="1"/>
                <w:lang w:val="en-AU"/>
              </w:rPr>
              <w:t xml:space="preserve">- </w:t>
            </w:r>
            <w:r w:rsidRPr="3A5E98D2" w:rsidR="00B56CEC">
              <w:rPr>
                <w:i w:val="1"/>
                <w:iCs w:val="1"/>
                <w:lang w:val="en-AU"/>
              </w:rPr>
              <w:t>Disclosure and Access to Information 2012</w:t>
            </w:r>
          </w:p>
          <w:p w:rsidR="00E77EF8" w:rsidP="00E77EF8" w:rsidRDefault="00E77EF8" w14:paraId="1573309D" w14:textId="77777777">
            <w:pPr>
              <w:tabs>
                <w:tab w:val="left" w:pos="3114"/>
              </w:tabs>
              <w:spacing w:line="276" w:lineRule="auto"/>
              <w:rPr>
                <w:u w:val="single"/>
                <w:lang w:val="en-AU"/>
              </w:rPr>
            </w:pPr>
            <w:r w:rsidRPr="3A5E98D2" w:rsidR="00E77EF8">
              <w:rPr>
                <w:u w:val="single"/>
                <w:lang w:val="en-AU"/>
              </w:rPr>
              <w:t>Asian Development Bank</w:t>
            </w:r>
          </w:p>
          <w:p w:rsidRPr="00F628BE" w:rsidR="00E263AF" w:rsidP="3A5E98D2" w:rsidRDefault="00E77EF8" w14:paraId="1945A550" w14:textId="25A1B25D">
            <w:pPr>
              <w:tabs>
                <w:tab w:val="left" w:pos="3114"/>
              </w:tabs>
              <w:spacing w:line="276" w:lineRule="auto"/>
              <w:rPr>
                <w:i w:val="1"/>
                <w:iCs w:val="1"/>
                <w:lang w:val="en-AU"/>
              </w:rPr>
            </w:pPr>
            <w:r w:rsidRPr="3A5E98D2" w:rsidR="00E77EF8">
              <w:rPr>
                <w:i w:val="1"/>
                <w:iCs w:val="1"/>
                <w:lang w:val="en-AU"/>
              </w:rPr>
              <w:t>-</w:t>
            </w:r>
            <w:r w:rsidRPr="3A5E98D2" w:rsidR="00E77EF8">
              <w:rPr>
                <w:i w:val="1"/>
                <w:iCs w:val="1"/>
                <w:lang w:val="en-AU"/>
              </w:rPr>
              <w:t xml:space="preserve"> </w:t>
            </w:r>
            <w:r w:rsidRPr="3A5E98D2" w:rsidR="0044106A">
              <w:rPr>
                <w:i w:val="1"/>
                <w:iCs w:val="1"/>
                <w:lang w:val="en-AU"/>
              </w:rPr>
              <w:t>L3: Public Communications</w:t>
            </w:r>
          </w:p>
          <w:p w:rsidRPr="0070530A" w:rsidR="00E77EF8" w:rsidP="00E77EF8" w:rsidRDefault="00E77EF8" w14:paraId="09D4949E" w14:textId="77777777">
            <w:pPr>
              <w:spacing w:line="276" w:lineRule="auto"/>
              <w:rPr>
                <w:u w:val="single"/>
                <w:lang w:val="en-AU"/>
              </w:rPr>
            </w:pPr>
            <w:r w:rsidRPr="3A5E98D2" w:rsidR="00E77EF8">
              <w:rPr>
                <w:u w:val="single"/>
                <w:lang w:val="en-AU"/>
              </w:rPr>
              <w:t>European Bank for Reconstruction and Development</w:t>
            </w:r>
          </w:p>
          <w:p w:rsidRPr="00353529" w:rsidR="00E77EF8" w:rsidP="3A5E98D2" w:rsidRDefault="00E77EF8" w14:paraId="3B563642" w14:textId="2A000709">
            <w:pPr>
              <w:pStyle w:val="ListParagraph"/>
              <w:numPr>
                <w:ilvl w:val="0"/>
                <w:numId w:val="35"/>
              </w:numPr>
              <w:spacing w:line="276" w:lineRule="auto"/>
              <w:rPr>
                <w:i w:val="1"/>
                <w:iCs w:val="1"/>
                <w:lang w:val="en-AU"/>
              </w:rPr>
            </w:pPr>
            <w:r w:rsidRPr="3A5E98D2" w:rsidR="00E77EF8">
              <w:rPr>
                <w:i w:val="1"/>
                <w:iCs w:val="1"/>
                <w:lang w:val="en-AU"/>
              </w:rPr>
              <w:t>PR10: Information Disclosure and Stakeholder Engagement</w:t>
            </w:r>
          </w:p>
          <w:p w:rsidRPr="00353529" w:rsidR="00353529" w:rsidP="3A5E98D2" w:rsidRDefault="00353529" w14:paraId="372BE514" w14:textId="6B15798D">
            <w:pPr>
              <w:pStyle w:val="ListParagraph"/>
              <w:numPr>
                <w:ilvl w:val="0"/>
                <w:numId w:val="35"/>
              </w:numPr>
              <w:spacing w:line="276" w:lineRule="auto"/>
              <w:rPr>
                <w:i w:val="1"/>
                <w:iCs w:val="1"/>
                <w:lang w:val="en-AU"/>
              </w:rPr>
            </w:pPr>
            <w:r w:rsidRPr="3A5E98D2" w:rsidR="00353529">
              <w:rPr>
                <w:i w:val="1"/>
                <w:iCs w:val="1"/>
                <w:lang w:val="en-AU"/>
              </w:rPr>
              <w:t>Public Information Policy (2014)</w:t>
            </w:r>
          </w:p>
          <w:p w:rsidR="00E77EF8" w:rsidP="00E77EF8" w:rsidRDefault="00E77EF8" w14:paraId="756C590A" w14:textId="77777777">
            <w:pPr>
              <w:spacing w:line="276" w:lineRule="auto"/>
              <w:rPr>
                <w:u w:val="single"/>
                <w:lang w:val="en-AU"/>
              </w:rPr>
            </w:pPr>
            <w:r w:rsidRPr="3A5E98D2" w:rsidR="00E77EF8">
              <w:rPr>
                <w:u w:val="single"/>
                <w:lang w:val="en-AU"/>
              </w:rPr>
              <w:t>Inter-American Development Bank</w:t>
            </w:r>
          </w:p>
          <w:p w:rsidRPr="0070530A" w:rsidR="00E77EF8" w:rsidP="3A5E98D2" w:rsidRDefault="00E77EF8" w14:paraId="58A0D762" w14:textId="05FEF35D">
            <w:pPr>
              <w:spacing w:line="276" w:lineRule="auto"/>
              <w:rPr>
                <w:i w:val="1"/>
                <w:iCs w:val="1"/>
                <w:lang w:val="en-AU"/>
              </w:rPr>
            </w:pPr>
            <w:r w:rsidRPr="3A5E98D2" w:rsidR="00E77EF8">
              <w:rPr>
                <w:i w:val="1"/>
                <w:iCs w:val="1"/>
                <w:lang w:val="en-AU"/>
              </w:rPr>
              <w:t>-</w:t>
            </w:r>
            <w:r w:rsidRPr="3A5E98D2" w:rsidR="00E77EF8">
              <w:rPr>
                <w:i w:val="1"/>
                <w:iCs w:val="1"/>
                <w:lang w:val="en-AU"/>
              </w:rPr>
              <w:t xml:space="preserve"> </w:t>
            </w:r>
            <w:r w:rsidRPr="3A5E98D2" w:rsidR="00E77EF8">
              <w:rPr>
                <w:i w:val="1"/>
                <w:iCs w:val="1"/>
                <w:lang w:val="en-AU"/>
              </w:rPr>
              <w:t xml:space="preserve">OP-102: </w:t>
            </w:r>
            <w:r w:rsidRPr="3A5E98D2" w:rsidR="002A0800">
              <w:rPr>
                <w:i w:val="1"/>
                <w:iCs w:val="1"/>
                <w:lang w:val="en-AU"/>
              </w:rPr>
              <w:t xml:space="preserve">Disclosure of Information Policy (2006) and </w:t>
            </w:r>
            <w:r w:rsidRPr="3A5E98D2" w:rsidR="00E77EF8">
              <w:rPr>
                <w:i w:val="1"/>
                <w:iCs w:val="1"/>
                <w:lang w:val="en-AU"/>
              </w:rPr>
              <w:t>Access to Information</w:t>
            </w:r>
            <w:r w:rsidRPr="3A5E98D2" w:rsidR="002A0800">
              <w:rPr>
                <w:i w:val="1"/>
                <w:iCs w:val="1"/>
                <w:lang w:val="en-AU"/>
              </w:rPr>
              <w:t xml:space="preserve"> Policy (2010)</w:t>
            </w:r>
          </w:p>
          <w:p w:rsidRPr="0070530A" w:rsidR="00E77EF8" w:rsidP="00E77EF8" w:rsidRDefault="00E77EF8" w14:paraId="2D73A318" w14:textId="77777777">
            <w:pPr>
              <w:spacing w:line="276" w:lineRule="auto"/>
              <w:rPr>
                <w:u w:val="single"/>
                <w:lang w:val="en-AU"/>
              </w:rPr>
            </w:pPr>
            <w:r w:rsidRPr="3A5E98D2" w:rsidR="00E77EF8">
              <w:rPr>
                <w:u w:val="single"/>
                <w:lang w:val="en-AU"/>
              </w:rPr>
              <w:t>International Finance Corporation</w:t>
            </w:r>
          </w:p>
          <w:p w:rsidRPr="001E1132" w:rsidR="00E77EF8" w:rsidP="3A5E98D2" w:rsidRDefault="001E1132" w14:paraId="4B615EC9" w14:textId="5D8BF577">
            <w:pPr>
              <w:spacing w:after="120" w:line="276" w:lineRule="auto"/>
              <w:rPr>
                <w:i w:val="1"/>
                <w:iCs w:val="1"/>
                <w:lang w:val="en-AU"/>
              </w:rPr>
            </w:pPr>
            <w:r w:rsidRPr="3A5E98D2" w:rsidR="001E1132">
              <w:rPr>
                <w:i w:val="1"/>
                <w:iCs w:val="1"/>
                <w:lang w:val="en-AU"/>
              </w:rPr>
              <w:t>-</w:t>
            </w:r>
            <w:r w:rsidRPr="3A5E98D2" w:rsidR="001E1132">
              <w:rPr>
                <w:i w:val="1"/>
                <w:iCs w:val="1"/>
                <w:lang w:val="en-AU"/>
              </w:rPr>
              <w:t xml:space="preserve"> </w:t>
            </w:r>
            <w:r w:rsidRPr="3A5E98D2" w:rsidR="00E77EF8">
              <w:rPr>
                <w:i w:val="1"/>
                <w:iCs w:val="1"/>
                <w:lang w:val="en-AU"/>
              </w:rPr>
              <w:t>Disclosure Policy</w:t>
            </w:r>
          </w:p>
          <w:p w:rsidRPr="00337D79" w:rsidR="001E1132" w:rsidP="3A5E98D2" w:rsidRDefault="001E1132" w14:paraId="21AE2333" w14:textId="2FF2D856">
            <w:pPr>
              <w:spacing w:after="120"/>
              <w:rPr>
                <w:b w:val="1"/>
                <w:bCs w:val="1"/>
                <w:i w:val="1"/>
                <w:iCs w:val="1"/>
              </w:rPr>
            </w:pPr>
            <w:r w:rsidRPr="3A5E98D2" w:rsidR="001E1132">
              <w:rPr>
                <w:b w:val="1"/>
                <w:bCs w:val="1"/>
                <w:i w:val="1"/>
                <w:iCs w:val="1"/>
              </w:rPr>
              <w:t>Note that non-compliance with disclosure/access to information requirements are often found as a violation of Umbrella</w:t>
            </w:r>
            <w:r w:rsidRPr="3A5E98D2" w:rsidR="006A196D">
              <w:rPr>
                <w:b w:val="1"/>
                <w:bCs w:val="1"/>
                <w:i w:val="1"/>
                <w:iCs w:val="1"/>
              </w:rPr>
              <w:t>/Generic Social and Environmental</w:t>
            </w:r>
            <w:r w:rsidRPr="3A5E98D2" w:rsidR="001E1132">
              <w:rPr>
                <w:b w:val="1"/>
                <w:bCs w:val="1"/>
                <w:i w:val="1"/>
                <w:iCs w:val="1"/>
              </w:rPr>
              <w:t xml:space="preserve"> Pol</w:t>
            </w:r>
            <w:r w:rsidRPr="3A5E98D2" w:rsidR="006A196D">
              <w:rPr>
                <w:b w:val="1"/>
                <w:bCs w:val="1"/>
                <w:i w:val="1"/>
                <w:iCs w:val="1"/>
              </w:rPr>
              <w:t xml:space="preserve">icies (Category </w:t>
            </w:r>
            <w:r w:rsidRPr="3A5E98D2" w:rsidR="001E1132">
              <w:rPr>
                <w:b w:val="1"/>
                <w:bCs w:val="1"/>
                <w:i w:val="1"/>
                <w:iCs w:val="1"/>
              </w:rPr>
              <w:t>A) instead or as well</w:t>
            </w:r>
            <w:r w:rsidRPr="3A5E98D2" w:rsidR="006A196D">
              <w:rPr>
                <w:b w:val="1"/>
                <w:bCs w:val="1"/>
                <w:i w:val="1"/>
                <w:iCs w:val="1"/>
              </w:rPr>
              <w:t xml:space="preserve"> as Category I</w:t>
            </w:r>
            <w:r w:rsidRPr="3A5E98D2" w:rsidR="001E1132">
              <w:rPr>
                <w:b w:val="1"/>
                <w:bCs w:val="1"/>
                <w:i w:val="1"/>
                <w:iCs w:val="1"/>
              </w:rPr>
              <w:t>.</w:t>
            </w:r>
          </w:p>
        </w:tc>
      </w:tr>
      <w:tr w:rsidR="00556B70" w:rsidTr="3A5E98D2" w14:paraId="7B001933" w14:textId="77777777">
        <w:tc>
          <w:tcPr>
            <w:tcW w:w="572" w:type="dxa"/>
            <w:tcMar/>
            <w:vAlign w:val="center"/>
          </w:tcPr>
          <w:p w:rsidR="00556B70" w:rsidP="00787E19" w:rsidRDefault="00556B70" w14:paraId="176D0FE1" w14:textId="44EA1580">
            <w:pPr>
              <w:spacing w:line="276" w:lineRule="auto"/>
              <w:jc w:val="center"/>
            </w:pPr>
            <w:r>
              <w:lastRenderedPageBreak/>
              <w:t>J</w:t>
            </w:r>
          </w:p>
        </w:tc>
        <w:tc>
          <w:tcPr>
            <w:tcW w:w="8708" w:type="dxa"/>
            <w:tcMar/>
          </w:tcPr>
          <w:p w:rsidR="00556B70" w:rsidP="3A5E98D2" w:rsidRDefault="0070530A" w14:paraId="54862252" w14:textId="77777777">
            <w:pPr>
              <w:spacing w:after="120" w:line="276" w:lineRule="auto"/>
              <w:rPr>
                <w:b w:val="1"/>
                <w:bCs w:val="1"/>
              </w:rPr>
            </w:pPr>
            <w:r w:rsidRPr="3A5E98D2" w:rsidR="0070530A">
              <w:rPr>
                <w:b w:val="1"/>
                <w:bCs w:val="1"/>
              </w:rPr>
              <w:t>Energy Sector</w:t>
            </w:r>
          </w:p>
          <w:p w:rsidR="00E77EF8" w:rsidP="00E77EF8" w:rsidRDefault="00E77EF8" w14:paraId="2ABF95FA" w14:textId="77777777">
            <w:pPr>
              <w:tabs>
                <w:tab w:val="left" w:pos="3114"/>
              </w:tabs>
              <w:spacing w:line="276" w:lineRule="auto"/>
              <w:rPr>
                <w:lang w:val="en-AU"/>
              </w:rPr>
            </w:pPr>
            <w:r w:rsidRPr="3A5E98D2" w:rsidR="00E77EF8">
              <w:rPr>
                <w:u w:val="single"/>
                <w:lang w:val="en-AU"/>
              </w:rPr>
              <w:t>African Development Bank</w:t>
            </w:r>
            <w:r w:rsidRPr="3A5E98D2" w:rsidR="00E77EF8">
              <w:rPr>
                <w:u w:val="single"/>
                <w:lang w:val="en-AU"/>
              </w:rPr>
              <w:t>:</w:t>
            </w:r>
          </w:p>
          <w:p w:rsidR="00E77EF8" w:rsidP="3A5E98D2" w:rsidRDefault="00E77EF8" w14:paraId="12E96FF0" w14:textId="5AE82E32">
            <w:pPr>
              <w:tabs>
                <w:tab w:val="left" w:pos="3114"/>
              </w:tabs>
              <w:spacing w:line="276" w:lineRule="auto"/>
              <w:rPr>
                <w:i w:val="1"/>
                <w:iCs w:val="1"/>
                <w:lang w:val="en-AU"/>
              </w:rPr>
            </w:pPr>
            <w:r w:rsidRPr="3A5E98D2" w:rsidR="00E77EF8">
              <w:rPr>
                <w:i w:val="1"/>
                <w:iCs w:val="1"/>
                <w:lang w:val="en-AU"/>
              </w:rPr>
              <w:t>- Energy Sector Policy</w:t>
            </w:r>
          </w:p>
          <w:p w:rsidR="00E77EF8" w:rsidP="00E77EF8" w:rsidRDefault="00E77EF8" w14:paraId="2078150B" w14:textId="77777777">
            <w:pPr>
              <w:tabs>
                <w:tab w:val="left" w:pos="3114"/>
              </w:tabs>
              <w:spacing w:line="276" w:lineRule="auto"/>
              <w:rPr>
                <w:u w:val="single"/>
                <w:lang w:val="en-AU"/>
              </w:rPr>
            </w:pPr>
            <w:r w:rsidRPr="3A5E98D2" w:rsidR="00E77EF8">
              <w:rPr>
                <w:u w:val="single"/>
                <w:lang w:val="en-AU"/>
              </w:rPr>
              <w:t>Asian Development Bank</w:t>
            </w:r>
          </w:p>
          <w:p w:rsidRPr="0070530A" w:rsidR="00E77EF8" w:rsidP="3A5E98D2" w:rsidRDefault="00E77EF8" w14:paraId="4E06EEB3" w14:textId="152FF21B">
            <w:pPr>
              <w:spacing w:after="120" w:line="276" w:lineRule="auto"/>
              <w:rPr>
                <w:b w:val="1"/>
                <w:bCs w:val="1"/>
              </w:rPr>
            </w:pPr>
            <w:r w:rsidRPr="3A5E98D2" w:rsidR="00E77EF8">
              <w:rPr>
                <w:i w:val="1"/>
                <w:iCs w:val="1"/>
                <w:lang w:val="en-AU"/>
              </w:rPr>
              <w:t>-</w:t>
            </w:r>
            <w:r w:rsidRPr="3A5E98D2" w:rsidR="00E77EF8">
              <w:rPr>
                <w:i w:val="1"/>
                <w:iCs w:val="1"/>
                <w:lang w:val="en-AU"/>
              </w:rPr>
              <w:t xml:space="preserve"> Energy Policy (2009)</w:t>
            </w:r>
          </w:p>
        </w:tc>
      </w:tr>
      <w:tr w:rsidR="00556B70" w:rsidTr="3A5E98D2" w14:paraId="53F3CFA6" w14:textId="77777777">
        <w:tc>
          <w:tcPr>
            <w:tcW w:w="572" w:type="dxa"/>
            <w:tcMar/>
            <w:vAlign w:val="center"/>
          </w:tcPr>
          <w:p w:rsidR="00556B70" w:rsidP="00787E19" w:rsidRDefault="00556B70" w14:paraId="4DD3A101" w14:textId="4D527622">
            <w:pPr>
              <w:spacing w:line="276" w:lineRule="auto"/>
              <w:jc w:val="center"/>
            </w:pPr>
            <w:r>
              <w:t>K</w:t>
            </w:r>
          </w:p>
        </w:tc>
        <w:tc>
          <w:tcPr>
            <w:tcW w:w="8708" w:type="dxa"/>
            <w:tcMar/>
          </w:tcPr>
          <w:p w:rsidR="00556B70" w:rsidP="3A5E98D2" w:rsidRDefault="0070530A" w14:paraId="1A8504EF" w14:textId="77777777">
            <w:pPr>
              <w:spacing w:after="120" w:line="276" w:lineRule="auto"/>
              <w:rPr>
                <w:b w:val="1"/>
                <w:bCs w:val="1"/>
              </w:rPr>
            </w:pPr>
            <w:r w:rsidRPr="3A5E98D2" w:rsidR="0070530A">
              <w:rPr>
                <w:b w:val="1"/>
                <w:bCs w:val="1"/>
              </w:rPr>
              <w:t>Resource Efficiency and Pollution Prevention</w:t>
            </w:r>
          </w:p>
          <w:p w:rsidR="00716BFA" w:rsidP="00E77EF8" w:rsidRDefault="00716BFA" w14:paraId="22EA3013" w14:textId="492FCE48">
            <w:pPr>
              <w:tabs>
                <w:tab w:val="left" w:pos="3114"/>
              </w:tabs>
              <w:spacing w:line="276" w:lineRule="auto"/>
              <w:rPr>
                <w:u w:val="single"/>
                <w:lang w:val="en-AU"/>
              </w:rPr>
            </w:pPr>
            <w:r w:rsidRPr="3A5E98D2" w:rsidR="00716BFA">
              <w:rPr>
                <w:u w:val="single"/>
                <w:lang w:val="en-AU"/>
              </w:rPr>
              <w:t>African Development Bank</w:t>
            </w:r>
          </w:p>
          <w:p w:rsidRPr="00716BFA" w:rsidR="00716BFA" w:rsidP="3A5E98D2" w:rsidRDefault="00716BFA" w14:paraId="4A098815" w14:textId="424A36EA">
            <w:pPr>
              <w:tabs>
                <w:tab w:val="left" w:pos="3114"/>
              </w:tabs>
              <w:spacing w:line="276" w:lineRule="auto"/>
              <w:rPr>
                <w:i w:val="1"/>
                <w:iCs w:val="1"/>
                <w:lang w:val="en-AU"/>
              </w:rPr>
            </w:pPr>
            <w:r w:rsidRPr="3A5E98D2" w:rsidR="00716BFA">
              <w:rPr>
                <w:i w:val="1"/>
                <w:iCs w:val="1"/>
                <w:lang w:val="en-AU"/>
              </w:rPr>
              <w:t xml:space="preserve">- </w:t>
            </w:r>
            <w:r w:rsidRPr="3A5E98D2" w:rsidR="00716BFA">
              <w:rPr>
                <w:i w:val="1"/>
                <w:iCs w:val="1"/>
                <w:lang w:val="en-AU"/>
              </w:rPr>
              <w:t>OS 4: Pollution Prevention and Control, Greenhouse Gases, Hazardous Materials and Resource Efficiency</w:t>
            </w:r>
          </w:p>
          <w:p w:rsidR="00E77EF8" w:rsidP="00E77EF8" w:rsidRDefault="00E77EF8" w14:paraId="3F7F7C24" w14:textId="7DB4FA10">
            <w:pPr>
              <w:tabs>
                <w:tab w:val="left" w:pos="3114"/>
              </w:tabs>
              <w:spacing w:line="276" w:lineRule="auto"/>
              <w:rPr>
                <w:u w:val="single"/>
                <w:lang w:val="en-AU"/>
              </w:rPr>
            </w:pPr>
            <w:r w:rsidRPr="3A5E98D2" w:rsidR="00E77EF8">
              <w:rPr>
                <w:u w:val="single"/>
                <w:lang w:val="en-AU"/>
              </w:rPr>
              <w:t>Asian Development Bank</w:t>
            </w:r>
          </w:p>
          <w:p w:rsidRPr="005668AA" w:rsidR="00E77EF8" w:rsidP="3A5E98D2" w:rsidRDefault="005668AA" w14:paraId="764F4938" w14:textId="55C0D780">
            <w:pPr>
              <w:tabs>
                <w:tab w:val="left" w:pos="3114"/>
              </w:tabs>
              <w:spacing w:line="276" w:lineRule="auto"/>
              <w:rPr>
                <w:i w:val="1"/>
                <w:iCs w:val="1"/>
                <w:lang w:val="en-AU"/>
              </w:rPr>
            </w:pPr>
            <w:r w:rsidRPr="3A5E98D2" w:rsidR="005668AA">
              <w:rPr>
                <w:i w:val="1"/>
                <w:iCs w:val="1"/>
                <w:lang w:val="en-AU"/>
              </w:rPr>
              <w:t xml:space="preserve">- </w:t>
            </w:r>
            <w:r w:rsidRPr="3A5E98D2" w:rsidR="00E77EF8">
              <w:rPr>
                <w:i w:val="1"/>
                <w:iCs w:val="1"/>
                <w:lang w:val="en-AU"/>
              </w:rPr>
              <w:t xml:space="preserve">Pollution Prevention and Abatement Handbook </w:t>
            </w:r>
            <w:r w:rsidRPr="3A5E98D2" w:rsidR="005668AA">
              <w:rPr>
                <w:i w:val="1"/>
                <w:iCs w:val="1"/>
                <w:lang w:val="en-AU"/>
              </w:rPr>
              <w:t>–</w:t>
            </w:r>
            <w:r w:rsidRPr="3A5E98D2" w:rsidR="00E77EF8">
              <w:rPr>
                <w:i w:val="1"/>
                <w:iCs w:val="1"/>
                <w:lang w:val="en-AU"/>
              </w:rPr>
              <w:t xml:space="preserve"> World Bank</w:t>
            </w:r>
            <w:r w:rsidRPr="3A5E98D2" w:rsidR="005668AA">
              <w:rPr>
                <w:i w:val="1"/>
                <w:iCs w:val="1"/>
                <w:lang w:val="en-AU"/>
              </w:rPr>
              <w:t xml:space="preserve"> (PPAH</w:t>
            </w:r>
            <w:r w:rsidRPr="3A5E98D2" w:rsidR="00E77EF8">
              <w:rPr>
                <w:i w:val="1"/>
                <w:iCs w:val="1"/>
                <w:lang w:val="en-AU"/>
              </w:rPr>
              <w:t>)</w:t>
            </w:r>
          </w:p>
          <w:p w:rsidRPr="0070530A" w:rsidR="00E77EF8" w:rsidP="00E77EF8" w:rsidRDefault="00E77EF8" w14:paraId="252739D8" w14:textId="77777777">
            <w:pPr>
              <w:spacing w:line="276" w:lineRule="auto"/>
              <w:rPr>
                <w:u w:val="single"/>
                <w:lang w:val="en-AU"/>
              </w:rPr>
            </w:pPr>
            <w:r w:rsidRPr="3A5E98D2" w:rsidR="00E77EF8">
              <w:rPr>
                <w:u w:val="single"/>
                <w:lang w:val="en-AU"/>
              </w:rPr>
              <w:t>European Bank for Reconstruction and Development</w:t>
            </w:r>
          </w:p>
          <w:p w:rsidRPr="005668AA" w:rsidR="005668AA" w:rsidP="3A5E98D2" w:rsidRDefault="005668AA" w14:paraId="6F3AF1C0" w14:textId="5198B608">
            <w:pPr>
              <w:spacing w:line="276" w:lineRule="auto"/>
              <w:rPr>
                <w:i w:val="1"/>
                <w:iCs w:val="1"/>
                <w:lang w:val="en-AU"/>
              </w:rPr>
            </w:pPr>
            <w:r w:rsidRPr="3A5E98D2" w:rsidR="005668AA">
              <w:rPr>
                <w:i w:val="1"/>
                <w:iCs w:val="1"/>
                <w:lang w:val="en-AU"/>
              </w:rPr>
              <w:t xml:space="preserve">- </w:t>
            </w:r>
            <w:r w:rsidRPr="3A5E98D2" w:rsidR="005668AA">
              <w:rPr>
                <w:i w:val="1"/>
                <w:iCs w:val="1"/>
                <w:lang w:val="en-AU"/>
              </w:rPr>
              <w:t>PR3: Resource Efficiency and Pollution Prevention and Control</w:t>
            </w:r>
          </w:p>
          <w:p w:rsidRPr="005668AA" w:rsidR="00E77EF8" w:rsidP="005668AA" w:rsidRDefault="00E77EF8" w14:paraId="138586FE" w14:textId="4359380E">
            <w:pPr>
              <w:spacing w:line="276" w:lineRule="auto"/>
              <w:rPr>
                <w:u w:val="single"/>
                <w:lang w:val="en-AU"/>
              </w:rPr>
            </w:pPr>
            <w:r w:rsidRPr="3A5E98D2" w:rsidR="00E77EF8">
              <w:rPr>
                <w:u w:val="single"/>
                <w:lang w:val="en-AU"/>
              </w:rPr>
              <w:t>International Finance Corporation</w:t>
            </w:r>
          </w:p>
          <w:p w:rsidR="00E77EF8" w:rsidP="3A5E98D2" w:rsidRDefault="00E77EF8" w14:paraId="016E4848" w14:textId="77777777">
            <w:pPr>
              <w:spacing w:line="276" w:lineRule="auto"/>
              <w:rPr>
                <w:i w:val="1"/>
                <w:iCs w:val="1"/>
                <w:lang w:val="en-AU"/>
              </w:rPr>
            </w:pPr>
            <w:r w:rsidRPr="3A5E98D2" w:rsidR="00E77EF8">
              <w:rPr>
                <w:i w:val="1"/>
                <w:iCs w:val="1"/>
                <w:lang w:val="en-AU"/>
              </w:rPr>
              <w:t>-</w:t>
            </w:r>
            <w:r w:rsidRPr="3A5E98D2" w:rsidR="00E77EF8">
              <w:rPr>
                <w:i w:val="1"/>
                <w:iCs w:val="1"/>
                <w:lang w:val="en-AU"/>
              </w:rPr>
              <w:t xml:space="preserve"> </w:t>
            </w:r>
            <w:r w:rsidRPr="3A5E98D2" w:rsidR="005668AA">
              <w:rPr>
                <w:i w:val="1"/>
                <w:iCs w:val="1"/>
                <w:lang w:val="en-AU"/>
              </w:rPr>
              <w:t>PS</w:t>
            </w:r>
            <w:r w:rsidRPr="3A5E98D2" w:rsidR="005668AA">
              <w:rPr>
                <w:i w:val="1"/>
                <w:iCs w:val="1"/>
                <w:lang w:val="en-AU"/>
              </w:rPr>
              <w:t>3: Resource Efficiency and Pollution Prevention</w:t>
            </w:r>
          </w:p>
          <w:p w:rsidRPr="005668AA" w:rsidR="005668AA" w:rsidP="3A5E98D2" w:rsidRDefault="005668AA" w14:paraId="4AD4775C" w14:textId="1A20B686">
            <w:pPr>
              <w:spacing w:after="120" w:line="276" w:lineRule="auto"/>
              <w:rPr>
                <w:i w:val="1"/>
                <w:iCs w:val="1"/>
                <w:lang w:val="en-AU"/>
              </w:rPr>
            </w:pPr>
            <w:r w:rsidRPr="3A5E98D2" w:rsidR="005668AA">
              <w:rPr>
                <w:i w:val="1"/>
                <w:iCs w:val="1"/>
                <w:lang w:val="en-AU"/>
              </w:rPr>
              <w:t>- Pollution Prevention and Abatement Handbook – World Bank</w:t>
            </w:r>
          </w:p>
        </w:tc>
      </w:tr>
      <w:tr w:rsidR="00556B70" w:rsidTr="3A5E98D2" w14:paraId="51ACD35E" w14:textId="77777777">
        <w:tc>
          <w:tcPr>
            <w:tcW w:w="572" w:type="dxa"/>
            <w:tcMar/>
            <w:vAlign w:val="center"/>
          </w:tcPr>
          <w:p w:rsidR="00556B70" w:rsidP="00787E19" w:rsidRDefault="00556B70" w14:paraId="4B71FB3B" w14:textId="5AB8DC6F">
            <w:pPr>
              <w:spacing w:line="276" w:lineRule="auto"/>
              <w:jc w:val="center"/>
            </w:pPr>
            <w:r>
              <w:t>L</w:t>
            </w:r>
          </w:p>
        </w:tc>
        <w:tc>
          <w:tcPr>
            <w:tcW w:w="8708" w:type="dxa"/>
            <w:tcMar/>
          </w:tcPr>
          <w:p w:rsidR="00556B70" w:rsidP="3A5E98D2" w:rsidRDefault="0070530A" w14:paraId="53215AA1" w14:textId="77777777">
            <w:pPr>
              <w:spacing w:after="120" w:line="276" w:lineRule="auto"/>
              <w:rPr>
                <w:b w:val="1"/>
                <w:bCs w:val="1"/>
              </w:rPr>
            </w:pPr>
            <w:r w:rsidRPr="3A5E98D2" w:rsidR="0070530A">
              <w:rPr>
                <w:b w:val="1"/>
                <w:bCs w:val="1"/>
              </w:rPr>
              <w:t>Labour Standards/Conditions</w:t>
            </w:r>
          </w:p>
          <w:p w:rsidR="00E86DAF" w:rsidP="005668AA" w:rsidRDefault="00E86DAF" w14:paraId="2D710628" w14:textId="5F40C913">
            <w:pPr>
              <w:spacing w:line="276" w:lineRule="auto"/>
              <w:rPr>
                <w:u w:val="single"/>
                <w:lang w:val="en-AU"/>
              </w:rPr>
            </w:pPr>
            <w:r w:rsidRPr="3A5E98D2" w:rsidR="00E86DAF">
              <w:rPr>
                <w:u w:val="single"/>
                <w:lang w:val="en-AU"/>
              </w:rPr>
              <w:t>African Development Bank</w:t>
            </w:r>
          </w:p>
          <w:p w:rsidRPr="00E86DAF" w:rsidR="00E86DAF" w:rsidP="00E86DAF" w:rsidRDefault="00E86DAF" w14:paraId="536EB412" w14:textId="7975A2D9">
            <w:r w:rsidRPr="3A5E98D2" w:rsidR="00E86DAF">
              <w:rPr>
                <w:lang w:val="en-AU"/>
              </w:rPr>
              <w:t xml:space="preserve">- </w:t>
            </w:r>
            <w:r w:rsidR="00E86DAF">
              <w:rPr/>
              <w:t xml:space="preserve">OS 5: Labour Conditions, </w:t>
            </w:r>
            <w:r w:rsidR="00E86DAF">
              <w:rPr/>
              <w:t>Health</w:t>
            </w:r>
            <w:r w:rsidR="00E86DAF">
              <w:rPr/>
              <w:t xml:space="preserve"> and Safety</w:t>
            </w:r>
          </w:p>
          <w:p w:rsidRPr="0070530A" w:rsidR="005668AA" w:rsidP="005668AA" w:rsidRDefault="005668AA" w14:paraId="28F3898A" w14:textId="3101CF0D">
            <w:pPr>
              <w:spacing w:line="276" w:lineRule="auto"/>
              <w:rPr>
                <w:u w:val="single"/>
                <w:lang w:val="en-AU"/>
              </w:rPr>
            </w:pPr>
            <w:r w:rsidRPr="3A5E98D2" w:rsidR="005668AA">
              <w:rPr>
                <w:u w:val="single"/>
                <w:lang w:val="en-AU"/>
              </w:rPr>
              <w:t>European Bank for Reconstruction and Development</w:t>
            </w:r>
          </w:p>
          <w:p w:rsidRPr="005668AA" w:rsidR="005668AA" w:rsidP="3A5E98D2" w:rsidRDefault="005668AA" w14:paraId="21F03153" w14:textId="79069AC5">
            <w:pPr>
              <w:spacing w:line="276" w:lineRule="auto"/>
              <w:rPr>
                <w:i w:val="1"/>
                <w:iCs w:val="1"/>
                <w:lang w:val="en-AU"/>
              </w:rPr>
            </w:pPr>
            <w:r w:rsidRPr="3A5E98D2" w:rsidR="005668AA">
              <w:rPr>
                <w:i w:val="1"/>
                <w:iCs w:val="1"/>
                <w:lang w:val="en-AU"/>
              </w:rPr>
              <w:t xml:space="preserve">- </w:t>
            </w:r>
            <w:r w:rsidRPr="3A5E98D2" w:rsidR="005668AA">
              <w:rPr>
                <w:i w:val="1"/>
                <w:iCs w:val="1"/>
              </w:rPr>
              <w:t>PR2: Labour and Working Conditions</w:t>
            </w:r>
          </w:p>
          <w:p w:rsidRPr="005668AA" w:rsidR="005668AA" w:rsidP="005668AA" w:rsidRDefault="005668AA" w14:paraId="16A10DDA" w14:textId="77777777">
            <w:pPr>
              <w:spacing w:line="276" w:lineRule="auto"/>
              <w:rPr>
                <w:u w:val="single"/>
                <w:lang w:val="en-AU"/>
              </w:rPr>
            </w:pPr>
            <w:r w:rsidRPr="3A5E98D2" w:rsidR="005668AA">
              <w:rPr>
                <w:u w:val="single"/>
                <w:lang w:val="en-AU"/>
              </w:rPr>
              <w:t>International Finance Corporation</w:t>
            </w:r>
          </w:p>
          <w:p w:rsidRPr="00596041" w:rsidR="005668AA" w:rsidP="3A5E98D2" w:rsidRDefault="005668AA" w14:paraId="6EBFDDCC" w14:textId="6E5D12F9">
            <w:pPr>
              <w:spacing w:after="120" w:line="276" w:lineRule="auto"/>
              <w:rPr>
                <w:i w:val="1"/>
                <w:iCs w:val="1"/>
                <w:lang w:val="en-AU"/>
              </w:rPr>
            </w:pPr>
            <w:r w:rsidRPr="3A5E98D2" w:rsidR="005668AA">
              <w:rPr>
                <w:i w:val="1"/>
                <w:iCs w:val="1"/>
                <w:lang w:val="en-AU"/>
              </w:rPr>
              <w:t>-</w:t>
            </w:r>
            <w:r w:rsidRPr="3A5E98D2" w:rsidR="005668AA">
              <w:rPr>
                <w:i w:val="1"/>
                <w:iCs w:val="1"/>
                <w:lang w:val="en-AU"/>
              </w:rPr>
              <w:t xml:space="preserve"> PS</w:t>
            </w:r>
            <w:r w:rsidRPr="3A5E98D2" w:rsidR="00596041">
              <w:rPr>
                <w:i w:val="1"/>
                <w:iCs w:val="1"/>
                <w:lang w:val="en-AU"/>
              </w:rPr>
              <w:t>2</w:t>
            </w:r>
            <w:r w:rsidRPr="3A5E98D2" w:rsidR="005668AA">
              <w:rPr>
                <w:i w:val="1"/>
                <w:iCs w:val="1"/>
                <w:lang w:val="en-AU"/>
              </w:rPr>
              <w:t xml:space="preserve">: </w:t>
            </w:r>
            <w:r w:rsidRPr="3A5E98D2" w:rsidR="00596041">
              <w:rPr>
                <w:i w:val="1"/>
                <w:iCs w:val="1"/>
                <w:lang w:val="en-AU"/>
              </w:rPr>
              <w:t>Labor</w:t>
            </w:r>
            <w:r w:rsidRPr="3A5E98D2" w:rsidR="00596041">
              <w:rPr>
                <w:i w:val="1"/>
                <w:iCs w:val="1"/>
                <w:lang w:val="en-AU"/>
              </w:rPr>
              <w:t xml:space="preserve"> and Working Conditions</w:t>
            </w:r>
          </w:p>
        </w:tc>
      </w:tr>
      <w:tr w:rsidR="00556B70" w:rsidTr="3A5E98D2" w14:paraId="0D813890" w14:textId="77777777">
        <w:tc>
          <w:tcPr>
            <w:tcW w:w="572" w:type="dxa"/>
            <w:tcMar/>
            <w:vAlign w:val="center"/>
          </w:tcPr>
          <w:p w:rsidR="00556B70" w:rsidP="00787E19" w:rsidRDefault="00556B70" w14:paraId="6E35AB84" w14:textId="4BB2533B">
            <w:pPr>
              <w:spacing w:line="276" w:lineRule="auto"/>
              <w:jc w:val="center"/>
            </w:pPr>
            <w:r>
              <w:t>M</w:t>
            </w:r>
          </w:p>
        </w:tc>
        <w:tc>
          <w:tcPr>
            <w:tcW w:w="8708" w:type="dxa"/>
            <w:tcMar/>
          </w:tcPr>
          <w:p w:rsidR="00556B70" w:rsidP="3A5E98D2" w:rsidRDefault="0070530A" w14:paraId="03ADCE86" w14:textId="77777777">
            <w:pPr>
              <w:spacing w:after="120" w:line="276" w:lineRule="auto"/>
              <w:rPr>
                <w:b w:val="1"/>
                <w:bCs w:val="1"/>
              </w:rPr>
            </w:pPr>
            <w:r w:rsidRPr="3A5E98D2" w:rsidR="0070530A">
              <w:rPr>
                <w:b w:val="1"/>
                <w:bCs w:val="1"/>
              </w:rPr>
              <w:t>Community Health, Safety, and Security</w:t>
            </w:r>
          </w:p>
          <w:p w:rsidRPr="0070530A" w:rsidR="00596041" w:rsidP="00596041" w:rsidRDefault="00596041" w14:paraId="74885CA2" w14:textId="77777777">
            <w:pPr>
              <w:spacing w:line="276" w:lineRule="auto"/>
              <w:rPr>
                <w:u w:val="single"/>
                <w:lang w:val="en-AU"/>
              </w:rPr>
            </w:pPr>
            <w:r w:rsidRPr="3A5E98D2" w:rsidR="00596041">
              <w:rPr>
                <w:u w:val="single"/>
                <w:lang w:val="en-AU"/>
              </w:rPr>
              <w:t>European Bank for Reconstruction and Development</w:t>
            </w:r>
          </w:p>
          <w:p w:rsidRPr="00596041" w:rsidR="00596041" w:rsidP="3A5E98D2" w:rsidRDefault="00596041" w14:paraId="548F81A6" w14:textId="0EF7A1B8">
            <w:pPr>
              <w:spacing w:line="276" w:lineRule="auto"/>
              <w:rPr>
                <w:i w:val="1"/>
                <w:iCs w:val="1"/>
                <w:u w:val="single"/>
                <w:lang w:val="en-AU"/>
              </w:rPr>
            </w:pPr>
            <w:r w:rsidRPr="3A5E98D2" w:rsidR="00596041">
              <w:rPr>
                <w:i w:val="1"/>
                <w:iCs w:val="1"/>
              </w:rPr>
              <w:t xml:space="preserve">- </w:t>
            </w:r>
            <w:r w:rsidRPr="3A5E98D2" w:rsidR="00596041">
              <w:rPr>
                <w:i w:val="1"/>
                <w:iCs w:val="1"/>
              </w:rPr>
              <w:t xml:space="preserve">PR4: </w:t>
            </w:r>
            <w:r w:rsidRPr="3A5E98D2" w:rsidR="00596041">
              <w:rPr>
                <w:i w:val="1"/>
                <w:iCs w:val="1"/>
              </w:rPr>
              <w:t>Health and</w:t>
            </w:r>
            <w:r w:rsidRPr="3A5E98D2" w:rsidR="00596041">
              <w:rPr>
                <w:i w:val="1"/>
                <w:iCs w:val="1"/>
              </w:rPr>
              <w:t xml:space="preserve"> </w:t>
            </w:r>
            <w:r w:rsidRPr="3A5E98D2" w:rsidR="00596041">
              <w:rPr>
                <w:i w:val="1"/>
                <w:iCs w:val="1"/>
              </w:rPr>
              <w:t>Safety</w:t>
            </w:r>
            <w:r w:rsidRPr="3A5E98D2" w:rsidR="00596041">
              <w:rPr>
                <w:i w:val="1"/>
                <w:iCs w:val="1"/>
                <w:u w:val="single"/>
                <w:lang w:val="en-AU"/>
              </w:rPr>
              <w:t xml:space="preserve"> </w:t>
            </w:r>
          </w:p>
          <w:p w:rsidRPr="00596041" w:rsidR="00596041" w:rsidP="00596041" w:rsidRDefault="00596041" w14:paraId="4AE72275" w14:textId="206DA455">
            <w:pPr>
              <w:spacing w:line="276" w:lineRule="auto"/>
              <w:rPr>
                <w:u w:val="single"/>
                <w:lang w:val="en-AU"/>
              </w:rPr>
            </w:pPr>
            <w:r w:rsidRPr="3A5E98D2" w:rsidR="00596041">
              <w:rPr>
                <w:u w:val="single"/>
                <w:lang w:val="en-AU"/>
              </w:rPr>
              <w:t>International Finance Corporation</w:t>
            </w:r>
          </w:p>
          <w:p w:rsidRPr="0070530A" w:rsidR="00596041" w:rsidP="3A5E98D2" w:rsidRDefault="00596041" w14:paraId="1C01D626" w14:textId="454A802B">
            <w:pPr>
              <w:spacing w:after="120" w:line="276" w:lineRule="auto"/>
              <w:rPr>
                <w:b w:val="1"/>
                <w:bCs w:val="1"/>
              </w:rPr>
            </w:pPr>
            <w:r w:rsidRPr="3A5E98D2" w:rsidR="00596041">
              <w:rPr>
                <w:i w:val="1"/>
                <w:iCs w:val="1"/>
                <w:lang w:val="en-AU"/>
              </w:rPr>
              <w:t>-</w:t>
            </w:r>
            <w:r w:rsidRPr="3A5E98D2" w:rsidR="00596041">
              <w:rPr>
                <w:i w:val="1"/>
                <w:iCs w:val="1"/>
                <w:lang w:val="en-AU"/>
              </w:rPr>
              <w:t xml:space="preserve"> </w:t>
            </w:r>
            <w:r w:rsidRPr="3A5E98D2" w:rsidR="00596041">
              <w:rPr>
                <w:i w:val="1"/>
                <w:iCs w:val="1"/>
              </w:rPr>
              <w:t>PS4</w:t>
            </w:r>
            <w:r w:rsidRPr="3A5E98D2" w:rsidR="00596041">
              <w:rPr>
                <w:i w:val="1"/>
                <w:iCs w:val="1"/>
              </w:rPr>
              <w:t>: Community Health, Safety, and Security</w:t>
            </w:r>
          </w:p>
        </w:tc>
      </w:tr>
      <w:tr w:rsidR="00556B70" w:rsidTr="3A5E98D2" w14:paraId="1A442598" w14:textId="77777777">
        <w:tc>
          <w:tcPr>
            <w:tcW w:w="572" w:type="dxa"/>
            <w:tcMar/>
            <w:vAlign w:val="center"/>
          </w:tcPr>
          <w:p w:rsidR="00556B70" w:rsidP="00787E19" w:rsidRDefault="00556B70" w14:paraId="3163AE1A" w14:textId="2C8612BE">
            <w:pPr>
              <w:spacing w:line="276" w:lineRule="auto"/>
              <w:jc w:val="center"/>
            </w:pPr>
            <w:r>
              <w:t>N</w:t>
            </w:r>
          </w:p>
        </w:tc>
        <w:tc>
          <w:tcPr>
            <w:tcW w:w="8708" w:type="dxa"/>
            <w:tcMar/>
          </w:tcPr>
          <w:p w:rsidR="00556B70" w:rsidP="3A5E98D2" w:rsidRDefault="0070530A" w14:paraId="4D03D095" w14:textId="77777777">
            <w:pPr>
              <w:spacing w:after="120" w:line="276" w:lineRule="auto"/>
              <w:rPr>
                <w:b w:val="1"/>
                <w:bCs w:val="1"/>
              </w:rPr>
            </w:pPr>
            <w:r w:rsidRPr="3A5E98D2" w:rsidR="0070530A">
              <w:rPr>
                <w:b w:val="1"/>
                <w:bCs w:val="1"/>
              </w:rPr>
              <w:t>Disaster Risk Management</w:t>
            </w:r>
          </w:p>
          <w:p w:rsidRPr="00596041" w:rsidR="00596041" w:rsidP="00596041" w:rsidRDefault="00596041" w14:paraId="2C42E57B" w14:textId="1652378C">
            <w:pPr>
              <w:spacing w:line="276" w:lineRule="auto"/>
              <w:rPr>
                <w:u w:val="single"/>
                <w:lang w:val="en-AU"/>
              </w:rPr>
            </w:pPr>
            <w:r w:rsidRPr="3A5E98D2" w:rsidR="00596041">
              <w:rPr>
                <w:u w:val="single"/>
                <w:lang w:val="en-AU"/>
              </w:rPr>
              <w:t>Inter-American Development Bank</w:t>
            </w:r>
          </w:p>
          <w:p w:rsidRPr="00596041" w:rsidR="00596041" w:rsidP="3A5E98D2" w:rsidRDefault="00596041" w14:paraId="581AE15A" w14:textId="41A272A5">
            <w:pPr>
              <w:spacing w:after="120" w:line="276" w:lineRule="auto"/>
              <w:rPr>
                <w:i w:val="1"/>
                <w:iCs w:val="1"/>
              </w:rPr>
            </w:pPr>
            <w:r w:rsidRPr="3A5E98D2" w:rsidR="00596041">
              <w:rPr>
                <w:i w:val="1"/>
                <w:iCs w:val="1"/>
              </w:rPr>
              <w:t xml:space="preserve">- </w:t>
            </w:r>
            <w:r w:rsidRPr="3A5E98D2" w:rsidR="00596041">
              <w:rPr>
                <w:i w:val="1"/>
                <w:iCs w:val="1"/>
              </w:rPr>
              <w:t xml:space="preserve">OP-704 </w:t>
            </w:r>
            <w:r w:rsidRPr="3A5E98D2" w:rsidR="00596041">
              <w:rPr>
                <w:i w:val="1"/>
                <w:iCs w:val="1"/>
              </w:rPr>
              <w:t>Disaster Risk Management Policy</w:t>
            </w:r>
          </w:p>
        </w:tc>
      </w:tr>
      <w:tr w:rsidR="00556B70" w:rsidTr="3A5E98D2" w14:paraId="29872625" w14:textId="77777777">
        <w:tc>
          <w:tcPr>
            <w:tcW w:w="572" w:type="dxa"/>
            <w:tcMar/>
            <w:vAlign w:val="center"/>
          </w:tcPr>
          <w:p w:rsidR="00556B70" w:rsidP="00787E19" w:rsidRDefault="00556B70" w14:paraId="43630146" w14:textId="77F0F2B7">
            <w:pPr>
              <w:spacing w:line="276" w:lineRule="auto"/>
              <w:jc w:val="center"/>
            </w:pPr>
            <w:r>
              <w:lastRenderedPageBreak/>
              <w:t>O</w:t>
            </w:r>
          </w:p>
        </w:tc>
        <w:tc>
          <w:tcPr>
            <w:tcW w:w="8708" w:type="dxa"/>
            <w:tcMar/>
          </w:tcPr>
          <w:p w:rsidR="00556B70" w:rsidP="3A5E98D2" w:rsidRDefault="0070530A" w14:paraId="5C04C0CC" w14:textId="77777777">
            <w:pPr>
              <w:spacing w:after="120" w:line="276" w:lineRule="auto"/>
              <w:rPr>
                <w:b w:val="1"/>
                <w:bCs w:val="1"/>
              </w:rPr>
            </w:pPr>
            <w:r w:rsidRPr="3A5E98D2" w:rsidR="0070530A">
              <w:rPr>
                <w:b w:val="1"/>
                <w:bCs w:val="1"/>
              </w:rPr>
              <w:t>Operational Procedural Violations</w:t>
            </w:r>
          </w:p>
          <w:p w:rsidR="00A759EE" w:rsidP="002A5AC6" w:rsidRDefault="00A759EE" w14:paraId="3D653850" w14:textId="77777777">
            <w:pPr>
              <w:tabs>
                <w:tab w:val="left" w:pos="3114"/>
              </w:tabs>
              <w:spacing w:line="276" w:lineRule="auto"/>
              <w:rPr>
                <w:lang w:val="en-AU"/>
              </w:rPr>
            </w:pPr>
            <w:r w:rsidRPr="3A5E98D2" w:rsidR="00A759EE">
              <w:rPr>
                <w:u w:val="single"/>
                <w:lang w:val="en-AU"/>
              </w:rPr>
              <w:t>African Development Bank</w:t>
            </w:r>
            <w:r w:rsidRPr="3A5E98D2" w:rsidR="00A759EE">
              <w:rPr>
                <w:u w:val="single"/>
                <w:lang w:val="en-AU"/>
              </w:rPr>
              <w:t>:</w:t>
            </w:r>
          </w:p>
          <w:p w:rsidRPr="002A5AC6" w:rsidR="00A759EE" w:rsidP="3A5E98D2" w:rsidRDefault="002A5AC6" w14:paraId="6F2E259C" w14:textId="7B3E5009">
            <w:pPr>
              <w:tabs>
                <w:tab w:val="left" w:pos="3114"/>
              </w:tabs>
              <w:spacing w:line="276" w:lineRule="auto"/>
              <w:rPr>
                <w:i w:val="1"/>
                <w:iCs w:val="1"/>
                <w:lang w:val="en-AU"/>
              </w:rPr>
            </w:pPr>
            <w:r w:rsidRPr="3A5E98D2" w:rsidR="002A5AC6">
              <w:rPr>
                <w:i w:val="1"/>
                <w:iCs w:val="1"/>
                <w:lang w:val="en-AU"/>
              </w:rPr>
              <w:t>-</w:t>
            </w:r>
            <w:r w:rsidRPr="3A5E98D2" w:rsidR="002A5AC6">
              <w:rPr>
                <w:i w:val="1"/>
                <w:iCs w:val="1"/>
                <w:lang w:val="en-AU"/>
              </w:rPr>
              <w:t xml:space="preserve"> </w:t>
            </w:r>
            <w:r w:rsidRPr="3A5E98D2" w:rsidR="00A759EE">
              <w:rPr>
                <w:i w:val="1"/>
                <w:iCs w:val="1"/>
                <w:lang w:val="en-AU"/>
              </w:rPr>
              <w:t xml:space="preserve">Policy on </w:t>
            </w:r>
            <w:r w:rsidRPr="3A5E98D2" w:rsidR="002A5AC6">
              <w:rPr>
                <w:i w:val="1"/>
                <w:iCs w:val="1"/>
                <w:lang w:val="en-AU"/>
              </w:rPr>
              <w:t>Good Governance</w:t>
            </w:r>
          </w:p>
          <w:p w:rsidRPr="002A5AC6" w:rsidR="002A5AC6" w:rsidP="3A5E98D2" w:rsidRDefault="002A5AC6" w14:paraId="70871543" w14:textId="039C8EBF">
            <w:pPr>
              <w:spacing w:line="276" w:lineRule="auto"/>
              <w:rPr>
                <w:i w:val="1"/>
                <w:iCs w:val="1"/>
                <w:lang w:val="en-AU"/>
              </w:rPr>
            </w:pPr>
            <w:r w:rsidRPr="3A5E98D2" w:rsidR="002A5AC6">
              <w:rPr>
                <w:i w:val="1"/>
                <w:iCs w:val="1"/>
                <w:lang w:val="en-AU"/>
              </w:rPr>
              <w:t>- Economic Evaluation of Investment Operations (OM 600)</w:t>
            </w:r>
          </w:p>
          <w:p w:rsidR="00A759EE" w:rsidP="002A5AC6" w:rsidRDefault="00A759EE" w14:paraId="5865B5A0" w14:textId="77777777">
            <w:pPr>
              <w:tabs>
                <w:tab w:val="left" w:pos="3114"/>
              </w:tabs>
              <w:spacing w:line="276" w:lineRule="auto"/>
              <w:rPr>
                <w:u w:val="single"/>
                <w:lang w:val="en-AU"/>
              </w:rPr>
            </w:pPr>
            <w:r w:rsidRPr="3A5E98D2" w:rsidR="00A759EE">
              <w:rPr>
                <w:u w:val="single"/>
                <w:lang w:val="en-AU"/>
              </w:rPr>
              <w:t>Asian Development Bank</w:t>
            </w:r>
          </w:p>
          <w:p w:rsidRPr="002A5AC6" w:rsidR="00A759EE" w:rsidP="3A5E98D2" w:rsidRDefault="002A5AC6" w14:paraId="50F5A0F4" w14:textId="3A0A5F45">
            <w:pPr>
              <w:tabs>
                <w:tab w:val="left" w:pos="3114"/>
              </w:tabs>
              <w:spacing w:line="276" w:lineRule="auto"/>
              <w:rPr>
                <w:i w:val="1"/>
                <w:iCs w:val="1"/>
                <w:lang w:val="en-AU"/>
              </w:rPr>
            </w:pPr>
            <w:r w:rsidRPr="3A5E98D2" w:rsidR="002A5AC6">
              <w:rPr>
                <w:i w:val="1"/>
                <w:iCs w:val="1"/>
                <w:lang w:val="en-AU"/>
              </w:rPr>
              <w:t>-</w:t>
            </w:r>
            <w:r w:rsidRPr="3A5E98D2" w:rsidR="002A5AC6">
              <w:rPr>
                <w:i w:val="1"/>
                <w:iCs w:val="1"/>
                <w:lang w:val="en-AU"/>
              </w:rPr>
              <w:t xml:space="preserve"> </w:t>
            </w:r>
            <w:r w:rsidRPr="3A5E98D2" w:rsidR="002A5AC6">
              <w:rPr>
                <w:i w:val="1"/>
                <w:iCs w:val="1"/>
                <w:lang w:val="en-AU"/>
              </w:rPr>
              <w:t>Supplementary Financing of Cost Overruns on Bank-Financed Projects</w:t>
            </w:r>
          </w:p>
          <w:p w:rsidRPr="00337F91" w:rsidR="002A5AC6" w:rsidP="3A5E98D2" w:rsidRDefault="002A5AC6" w14:paraId="3AF5BDCC" w14:textId="4416FD5B">
            <w:pPr>
              <w:spacing w:line="276" w:lineRule="auto"/>
              <w:rPr>
                <w:i w:val="1"/>
                <w:iCs w:val="1"/>
                <w:lang w:val="en-AU"/>
              </w:rPr>
            </w:pPr>
            <w:r w:rsidRPr="3A5E98D2" w:rsidR="002A5AC6">
              <w:rPr>
                <w:i w:val="1"/>
                <w:iCs w:val="1"/>
                <w:lang w:val="en-AU"/>
              </w:rPr>
              <w:t xml:space="preserve">- </w:t>
            </w:r>
            <w:r w:rsidRPr="3A5E98D2" w:rsidR="002A5AC6">
              <w:rPr>
                <w:i w:val="1"/>
                <w:iCs w:val="1"/>
                <w:lang w:val="en-AU"/>
              </w:rPr>
              <w:t>Benefit Monitoring and Evaluation</w:t>
            </w:r>
          </w:p>
          <w:p w:rsidRPr="00337F91" w:rsidR="002A5AC6" w:rsidP="3A5E98D2" w:rsidRDefault="002A5AC6" w14:paraId="410271E3" w14:textId="37A703F7">
            <w:pPr>
              <w:spacing w:line="276" w:lineRule="auto"/>
              <w:rPr>
                <w:i w:val="1"/>
                <w:iCs w:val="1"/>
                <w:lang w:val="en-AU"/>
              </w:rPr>
            </w:pPr>
            <w:r w:rsidRPr="3A5E98D2" w:rsidR="002A5AC6">
              <w:rPr>
                <w:i w:val="1"/>
                <w:iCs w:val="1"/>
                <w:lang w:val="en-AU"/>
              </w:rPr>
              <w:t>- Bank’s Operations Missions</w:t>
            </w:r>
          </w:p>
          <w:p w:rsidRPr="00337F91" w:rsidR="002A5AC6" w:rsidP="3A5E98D2" w:rsidRDefault="002A5AC6" w14:paraId="1D4FF46C" w14:textId="37F2A6B8">
            <w:pPr>
              <w:spacing w:line="276" w:lineRule="auto"/>
              <w:rPr>
                <w:i w:val="1"/>
                <w:iCs w:val="1"/>
                <w:lang w:val="en-AU"/>
              </w:rPr>
            </w:pPr>
            <w:r w:rsidRPr="3A5E98D2" w:rsidR="002A5AC6">
              <w:rPr>
                <w:i w:val="1"/>
                <w:iCs w:val="1"/>
                <w:lang w:val="en-AU"/>
              </w:rPr>
              <w:t xml:space="preserve">- </w:t>
            </w:r>
            <w:r w:rsidRPr="3A5E98D2" w:rsidR="006F4581">
              <w:rPr>
                <w:i w:val="1"/>
                <w:iCs w:val="1"/>
                <w:lang w:val="en-AU"/>
              </w:rPr>
              <w:t xml:space="preserve">J4: </w:t>
            </w:r>
            <w:r w:rsidRPr="3A5E98D2" w:rsidR="002A5AC6">
              <w:rPr>
                <w:i w:val="1"/>
                <w:iCs w:val="1"/>
                <w:lang w:val="en-AU"/>
              </w:rPr>
              <w:t>Formulation and Implementation of Loan Covenants</w:t>
            </w:r>
          </w:p>
          <w:p w:rsidRPr="00337F91" w:rsidR="002A5AC6" w:rsidP="3A5E98D2" w:rsidRDefault="002A5AC6" w14:paraId="578C89B9" w14:textId="72F2AAB8">
            <w:pPr>
              <w:spacing w:line="276" w:lineRule="auto"/>
              <w:rPr>
                <w:i w:val="1"/>
                <w:iCs w:val="1"/>
                <w:lang w:val="en-AU"/>
              </w:rPr>
            </w:pPr>
            <w:r w:rsidRPr="3A5E98D2" w:rsidR="002A5AC6">
              <w:rPr>
                <w:i w:val="1"/>
                <w:iCs w:val="1"/>
                <w:lang w:val="en-AU"/>
              </w:rPr>
              <w:t xml:space="preserve">- </w:t>
            </w:r>
            <w:r w:rsidRPr="3A5E98D2" w:rsidR="006F4581">
              <w:rPr>
                <w:i w:val="1"/>
                <w:iCs w:val="1"/>
                <w:lang w:val="en-AU"/>
              </w:rPr>
              <w:t xml:space="preserve">C4: </w:t>
            </w:r>
            <w:r w:rsidRPr="3A5E98D2" w:rsidR="002A5AC6">
              <w:rPr>
                <w:i w:val="1"/>
                <w:iCs w:val="1"/>
                <w:lang w:val="en-AU"/>
              </w:rPr>
              <w:t>Good Governance</w:t>
            </w:r>
          </w:p>
          <w:p w:rsidR="002A5AC6" w:rsidP="3A5E98D2" w:rsidRDefault="002A5AC6" w14:paraId="38000928" w14:textId="746C125A">
            <w:pPr>
              <w:spacing w:line="276" w:lineRule="auto"/>
              <w:rPr>
                <w:i w:val="1"/>
                <w:iCs w:val="1"/>
                <w:lang w:val="en-AU"/>
              </w:rPr>
            </w:pPr>
            <w:r w:rsidRPr="3A5E98D2" w:rsidR="002A5AC6">
              <w:rPr>
                <w:i w:val="1"/>
                <w:iCs w:val="1"/>
                <w:lang w:val="en-AU"/>
              </w:rPr>
              <w:t>- PAI No. 5.04: Change in Project Scope or Implementation Arrangements</w:t>
            </w:r>
          </w:p>
          <w:p w:rsidRPr="002A5AC6" w:rsidR="002A5AC6" w:rsidP="002A5AC6" w:rsidRDefault="002A5AC6" w14:paraId="390F5FB0" w14:textId="01F2A0EF">
            <w:pPr>
              <w:spacing w:line="276" w:lineRule="auto"/>
              <w:rPr>
                <w:u w:val="single"/>
                <w:lang w:val="en-AU"/>
              </w:rPr>
            </w:pPr>
            <w:r w:rsidRPr="3A5E98D2" w:rsidR="002A5AC6">
              <w:rPr>
                <w:u w:val="single"/>
                <w:lang w:val="en-AU"/>
              </w:rPr>
              <w:t>European Bank for Reconstruction and Development</w:t>
            </w:r>
          </w:p>
          <w:p w:rsidRPr="002A5AC6" w:rsidR="002A5AC6" w:rsidP="3A5E98D2" w:rsidRDefault="002A5AC6" w14:paraId="1DD6B24A" w14:textId="53A46C74">
            <w:pPr>
              <w:spacing w:line="276" w:lineRule="auto"/>
              <w:rPr>
                <w:i w:val="1"/>
                <w:iCs w:val="1"/>
                <w:lang w:val="en-AU"/>
              </w:rPr>
            </w:pPr>
            <w:r w:rsidRPr="3A5E98D2" w:rsidR="002A5AC6">
              <w:rPr>
                <w:i w:val="1"/>
                <w:iCs w:val="1"/>
              </w:rPr>
              <w:t xml:space="preserve">- </w:t>
            </w:r>
            <w:r w:rsidRPr="3A5E98D2" w:rsidR="002A5AC6">
              <w:rPr>
                <w:i w:val="1"/>
                <w:iCs w:val="1"/>
              </w:rPr>
              <w:t>PR9: Financial Intermediaries</w:t>
            </w:r>
          </w:p>
          <w:p w:rsidR="00A759EE" w:rsidP="002A5AC6" w:rsidRDefault="00A759EE" w14:paraId="32A13CF1" w14:textId="77777777">
            <w:pPr>
              <w:spacing w:line="276" w:lineRule="auto"/>
              <w:rPr>
                <w:u w:val="single"/>
                <w:lang w:val="en-AU"/>
              </w:rPr>
            </w:pPr>
            <w:r w:rsidRPr="3A5E98D2" w:rsidR="00A759EE">
              <w:rPr>
                <w:u w:val="single"/>
                <w:lang w:val="en-AU"/>
              </w:rPr>
              <w:t>Inter-American Development Bank</w:t>
            </w:r>
          </w:p>
          <w:p w:rsidRPr="002A5AC6" w:rsidR="002A5AC6" w:rsidP="3A5E98D2" w:rsidRDefault="002A5AC6" w14:paraId="09AC6A6E" w14:textId="3FACDF1B">
            <w:pPr>
              <w:spacing w:line="276" w:lineRule="auto"/>
              <w:rPr>
                <w:i w:val="1"/>
                <w:iCs w:val="1"/>
              </w:rPr>
            </w:pPr>
            <w:r w:rsidRPr="3A5E98D2" w:rsidR="002A5AC6">
              <w:rPr>
                <w:i w:val="1"/>
                <w:iCs w:val="1"/>
              </w:rPr>
              <w:t xml:space="preserve">- </w:t>
            </w:r>
            <w:r w:rsidRPr="3A5E98D2" w:rsidR="002A5AC6">
              <w:rPr>
                <w:i w:val="1"/>
                <w:iCs w:val="1"/>
              </w:rPr>
              <w:t>OP-302: Project Preparation, Evaluation and Approval Policy</w:t>
            </w:r>
          </w:p>
          <w:p w:rsidRPr="002A5AC6" w:rsidR="00B20770" w:rsidP="3A5E98D2" w:rsidRDefault="002A5AC6" w14:paraId="4834B817" w14:textId="203F92C6">
            <w:pPr>
              <w:spacing w:after="120" w:line="276" w:lineRule="auto"/>
              <w:rPr>
                <w:i w:val="1"/>
                <w:iCs w:val="1"/>
              </w:rPr>
            </w:pPr>
            <w:r w:rsidRPr="3A5E98D2" w:rsidR="002A5AC6">
              <w:rPr>
                <w:i w:val="1"/>
                <w:iCs w:val="1"/>
              </w:rPr>
              <w:t xml:space="preserve">- </w:t>
            </w:r>
            <w:r w:rsidRPr="3A5E98D2" w:rsidR="002A5AC6">
              <w:rPr>
                <w:i w:val="1"/>
                <w:iCs w:val="1"/>
              </w:rPr>
              <w:t>OP-304: Operations Administration Policy</w:t>
            </w:r>
          </w:p>
        </w:tc>
      </w:tr>
      <w:tr w:rsidRPr="002A5AC6" w:rsidR="00B20770" w:rsidTr="3A5E98D2" w14:paraId="48FBEEE7" w14:textId="77777777">
        <w:tc>
          <w:tcPr>
            <w:tcW w:w="572" w:type="dxa"/>
            <w:tcMar/>
            <w:vAlign w:val="center"/>
          </w:tcPr>
          <w:p w:rsidR="00B20770" w:rsidP="00B20770" w:rsidRDefault="00B20770" w14:paraId="108352BE" w14:textId="7B81788B">
            <w:pPr>
              <w:spacing w:line="276" w:lineRule="auto"/>
              <w:jc w:val="center"/>
            </w:pPr>
            <w:r>
              <w:t>P</w:t>
            </w:r>
          </w:p>
        </w:tc>
        <w:tc>
          <w:tcPr>
            <w:tcW w:w="8708" w:type="dxa"/>
            <w:tcMar/>
            <w:vAlign w:val="bottom"/>
          </w:tcPr>
          <w:p w:rsidRPr="00B20770" w:rsidR="00B20770" w:rsidP="006B4FEC" w:rsidRDefault="006B4FEC" w14:paraId="1C2816B5" w14:textId="78719198">
            <w:pPr>
              <w:spacing w:before="120" w:after="120" w:line="276" w:lineRule="auto"/>
              <w:rPr>
                <w:b/>
              </w:rPr>
            </w:pPr>
            <w:r>
              <w:rPr>
                <w:b/>
              </w:rPr>
              <w:t xml:space="preserve">Project found to </w:t>
            </w:r>
            <w:proofErr w:type="gramStart"/>
            <w:r>
              <w:rPr>
                <w:b/>
              </w:rPr>
              <w:t>be in compliance with</w:t>
            </w:r>
            <w:proofErr w:type="gramEnd"/>
            <w:r>
              <w:rPr>
                <w:b/>
              </w:rPr>
              <w:t xml:space="preserve"> relevant policies</w:t>
            </w:r>
            <w:r w:rsidR="00B20770">
              <w:rPr>
                <w:b/>
              </w:rPr>
              <w:t xml:space="preserve"> in the Investigation.</w:t>
            </w:r>
          </w:p>
        </w:tc>
      </w:tr>
      <w:tr w:rsidRPr="002A5AC6" w:rsidR="00B20770" w:rsidTr="3A5E98D2" w14:paraId="3BABD981" w14:textId="77777777">
        <w:tc>
          <w:tcPr>
            <w:tcW w:w="572" w:type="dxa"/>
            <w:tcMar/>
            <w:vAlign w:val="center"/>
          </w:tcPr>
          <w:p w:rsidR="00B20770" w:rsidP="00B20770" w:rsidRDefault="00B20770" w14:paraId="0408E2E5" w14:textId="1045F681">
            <w:pPr>
              <w:spacing w:line="276" w:lineRule="auto"/>
              <w:jc w:val="center"/>
            </w:pPr>
            <w:r>
              <w:t>Q</w:t>
            </w:r>
          </w:p>
        </w:tc>
        <w:tc>
          <w:tcPr>
            <w:tcW w:w="8708" w:type="dxa"/>
            <w:tcMar/>
            <w:vAlign w:val="bottom"/>
          </w:tcPr>
          <w:p w:rsidRPr="00B20770" w:rsidR="00B20770" w:rsidP="006B4FEC" w:rsidRDefault="006B4FEC" w14:paraId="0411D883" w14:textId="2F0E4D43">
            <w:pPr>
              <w:spacing w:before="120" w:after="120" w:line="276" w:lineRule="auto"/>
              <w:rPr>
                <w:b/>
              </w:rPr>
            </w:pPr>
            <w:r>
              <w:rPr>
                <w:b/>
              </w:rPr>
              <w:t xml:space="preserve">The Investigation had no explicit findings of </w:t>
            </w:r>
            <w:r w:rsidR="00B20770">
              <w:rPr>
                <w:b/>
              </w:rPr>
              <w:t xml:space="preserve">compliance or non-compliance on specific </w:t>
            </w:r>
            <w:r>
              <w:rPr>
                <w:b/>
              </w:rPr>
              <w:t>policies</w:t>
            </w:r>
            <w:r w:rsidR="00B20770">
              <w:rPr>
                <w:b/>
              </w:rPr>
              <w:t>.</w:t>
            </w:r>
          </w:p>
        </w:tc>
      </w:tr>
    </w:tbl>
    <w:p w:rsidR="00B20770" w:rsidP="00983384" w:rsidRDefault="00B20770" w14:paraId="3BADAAEE" w14:textId="77777777">
      <w:pPr>
        <w:spacing w:line="276" w:lineRule="auto"/>
      </w:pPr>
    </w:p>
    <w:p w:rsidR="00F8655C" w:rsidP="00F8655C" w:rsidRDefault="00F8655C" w14:paraId="03A9B5F4" w14:textId="059A5431">
      <w:pPr>
        <w:spacing w:line="276" w:lineRule="auto"/>
        <w:rPr>
          <w:b/>
          <w:i/>
        </w:rPr>
      </w:pPr>
      <w:r>
        <w:rPr>
          <w:b/>
          <w:i/>
        </w:rPr>
        <w:t>2.6</w:t>
      </w:r>
      <w:r w:rsidRPr="00C64617">
        <w:rPr>
          <w:b/>
          <w:i/>
        </w:rPr>
        <w:t xml:space="preserve">. </w:t>
      </w:r>
      <w:r>
        <w:rPr>
          <w:b/>
          <w:i/>
        </w:rPr>
        <w:t>Intended Usage and Functionality</w:t>
      </w:r>
    </w:p>
    <w:p w:rsidR="003C7ADC" w:rsidP="003C7ADC" w:rsidRDefault="003C7ADC" w14:paraId="53A8A68B" w14:textId="4C0A4EA2">
      <w:pPr>
        <w:spacing w:line="276" w:lineRule="auto"/>
      </w:pPr>
      <w:r>
        <w:t xml:space="preserve">Every column in the spreadsheet can be filtered to select specific criteria the </w:t>
      </w:r>
      <w:r w:rsidR="00467160">
        <w:t>user</w:t>
      </w:r>
      <w:r>
        <w:t xml:space="preserve"> would like to see. Any combination of data can be </w:t>
      </w:r>
      <w:r w:rsidR="000305F2">
        <w:t>selected,</w:t>
      </w:r>
      <w:r>
        <w:t xml:space="preserve"> and an updated case count will appear at the bottom of the spreadsheet. </w:t>
      </w:r>
    </w:p>
    <w:p w:rsidRPr="00195A41" w:rsidR="003C7ADC" w:rsidP="003C7ADC" w:rsidRDefault="003C7ADC" w14:paraId="080A0B79" w14:textId="77777777">
      <w:pPr>
        <w:spacing w:line="276" w:lineRule="auto"/>
        <w:ind w:firstLine="567"/>
        <w:rPr>
          <w:u w:val="single"/>
        </w:rPr>
      </w:pPr>
      <w:r w:rsidRPr="00195A41">
        <w:rPr>
          <w:u w:val="single"/>
        </w:rPr>
        <w:t>Examples:</w:t>
      </w:r>
    </w:p>
    <w:p w:rsidR="003C7ADC" w:rsidP="003C7ADC" w:rsidRDefault="003C7ADC" w14:paraId="56C8B2B8" w14:textId="61298B2F">
      <w:pPr>
        <w:pStyle w:val="ListParagraph"/>
        <w:numPr>
          <w:ilvl w:val="0"/>
          <w:numId w:val="29"/>
        </w:numPr>
        <w:spacing w:line="276" w:lineRule="auto"/>
        <w:ind w:left="993" w:hanging="426"/>
      </w:pPr>
      <w:r>
        <w:t>To see all cases from one year or a range of years, make the relevant selection(s) in the ‘Year’ column.</w:t>
      </w:r>
    </w:p>
    <w:p w:rsidR="003C7ADC" w:rsidP="003C7ADC" w:rsidRDefault="003C7ADC" w14:paraId="358D97AC" w14:textId="2CB7A20B">
      <w:pPr>
        <w:pStyle w:val="ListParagraph"/>
        <w:numPr>
          <w:ilvl w:val="0"/>
          <w:numId w:val="29"/>
        </w:numPr>
        <w:spacing w:line="276" w:lineRule="auto"/>
        <w:ind w:left="993" w:hanging="426"/>
      </w:pPr>
      <w:r>
        <w:t xml:space="preserve">To see all cases from one country or </w:t>
      </w:r>
      <w:proofErr w:type="gramStart"/>
      <w:r>
        <w:t>a number of</w:t>
      </w:r>
      <w:proofErr w:type="gramEnd"/>
      <w:r>
        <w:t xml:space="preserve"> countries, make the relevant selection(s) in the ‘Country’ column.</w:t>
      </w:r>
    </w:p>
    <w:p w:rsidR="003C7ADC" w:rsidP="003C7ADC" w:rsidRDefault="003C7ADC" w14:paraId="0466E6CB" w14:textId="7D51BCD3">
      <w:pPr>
        <w:pStyle w:val="ListParagraph"/>
        <w:numPr>
          <w:ilvl w:val="0"/>
          <w:numId w:val="29"/>
        </w:numPr>
        <w:spacing w:line="276" w:lineRule="auto"/>
        <w:ind w:left="993" w:hanging="426"/>
      </w:pPr>
      <w:r>
        <w:t>To see a specific case, select the relevant number in the ‘Case No.’ column; or select the relevant name in the ‘Project’ column. The search bar in the filter menu can also be used to bring up multiple cases on the same project.</w:t>
      </w:r>
    </w:p>
    <w:p w:rsidR="00FE09E1" w:rsidP="003C7ADC" w:rsidRDefault="00FE09E1" w14:paraId="705ACAA7" w14:textId="7C5365CF">
      <w:pPr>
        <w:pStyle w:val="ListParagraph"/>
        <w:numPr>
          <w:ilvl w:val="0"/>
          <w:numId w:val="29"/>
        </w:numPr>
        <w:spacing w:line="276" w:lineRule="auto"/>
        <w:ind w:left="993" w:hanging="426"/>
      </w:pPr>
      <w:r>
        <w:t>To see all unregistered cases, select the ‘Not Registered’ cases in the ‘Eligible’ column.</w:t>
      </w:r>
    </w:p>
    <w:p w:rsidR="00FE09E1" w:rsidP="003C7ADC" w:rsidRDefault="00FE09E1" w14:paraId="73FAA1E2" w14:textId="06562430">
      <w:pPr>
        <w:pStyle w:val="ListParagraph"/>
        <w:numPr>
          <w:ilvl w:val="0"/>
          <w:numId w:val="29"/>
        </w:numPr>
        <w:spacing w:line="276" w:lineRule="auto"/>
        <w:ind w:left="993" w:hanging="426"/>
      </w:pPr>
      <w:r>
        <w:t>To see all registered cases, deselect the ‘Not Registered’ cases in the ‘Eligible’ column.</w:t>
      </w:r>
    </w:p>
    <w:p w:rsidRPr="00C84720" w:rsidR="00D85B4A" w:rsidP="003C7ADC" w:rsidRDefault="00D85B4A" w14:paraId="7F447F86" w14:textId="0D6B4C1A">
      <w:pPr>
        <w:pStyle w:val="ListParagraph"/>
        <w:numPr>
          <w:ilvl w:val="0"/>
          <w:numId w:val="29"/>
        </w:numPr>
        <w:spacing w:line="276" w:lineRule="auto"/>
        <w:ind w:left="993" w:hanging="426"/>
      </w:pPr>
      <w:r w:rsidRPr="00C84720">
        <w:t>To see all cases that were</w:t>
      </w:r>
      <w:r w:rsidRPr="00C84720" w:rsidR="00DF4AA1">
        <w:t xml:space="preserve"> determined ineligible for the consultation phase but still went to the investigation p</w:t>
      </w:r>
      <w:r w:rsidRPr="00C84720">
        <w:t>hase, deselect ‘Not Registered’,</w:t>
      </w:r>
      <w:r w:rsidRPr="00C84720" w:rsidR="00C84720">
        <w:t xml:space="preserve"> right arrow </w:t>
      </w:r>
      <w:r w:rsidRPr="00C84720" w:rsidR="00C84720">
        <w:lastRenderedPageBreak/>
        <w:t>(</w:t>
      </w:r>
      <w:r w:rsidRPr="00C84720" w:rsidR="00C84720">
        <w:rPr>
          <w:rFonts w:ascii="Wingdings" w:hAnsi="Wingdings"/>
          <w:b/>
          <w:color w:val="000000"/>
        </w:rPr>
        <w:t></w:t>
      </w:r>
      <w:r w:rsidRPr="00C84720" w:rsidR="00C84720">
        <w:t>)</w:t>
      </w:r>
      <w:r w:rsidRPr="00C84720">
        <w:t>, and ‘Blanks’ in the ‘Eligible column, and deselect ‘Blanks’ in the ‘Under Appraisal’ column.</w:t>
      </w:r>
    </w:p>
    <w:p w:rsidR="00FE09E1" w:rsidP="003C7ADC" w:rsidRDefault="00FE09E1" w14:paraId="2675B8CD" w14:textId="5CE55F1A">
      <w:pPr>
        <w:pStyle w:val="ListParagraph"/>
        <w:numPr>
          <w:ilvl w:val="0"/>
          <w:numId w:val="29"/>
        </w:numPr>
        <w:spacing w:line="276" w:lineRule="auto"/>
        <w:ind w:left="993" w:hanging="426"/>
      </w:pPr>
      <w:r>
        <w:t xml:space="preserve">To see all cases that stopped at any given stage, go to the relevant column and deselect ‘Blanks’ and </w:t>
      </w:r>
      <w:r w:rsidR="00C84720">
        <w:t>right arrow (</w:t>
      </w:r>
      <w:r w:rsidRPr="00511833" w:rsidR="00C84720">
        <w:rPr>
          <w:rFonts w:ascii="Wingdings" w:hAnsi="Wingdings"/>
          <w:b/>
          <w:color w:val="000000"/>
        </w:rPr>
        <w:t></w:t>
      </w:r>
      <w:r w:rsidR="00C84720">
        <w:t>)</w:t>
      </w:r>
      <w:r>
        <w:t>.</w:t>
      </w:r>
    </w:p>
    <w:p w:rsidR="0014689A" w:rsidP="003C7ADC" w:rsidRDefault="0014689A" w14:paraId="2D0B587D" w14:textId="6D71912C">
      <w:pPr>
        <w:pStyle w:val="ListParagraph"/>
        <w:numPr>
          <w:ilvl w:val="0"/>
          <w:numId w:val="29"/>
        </w:numPr>
        <w:spacing w:line="276" w:lineRule="auto"/>
        <w:ind w:left="993" w:hanging="426"/>
      </w:pPr>
      <w:r>
        <w:t xml:space="preserve">To see all cases that stopped during mediation because </w:t>
      </w:r>
      <w:r w:rsidR="00497837">
        <w:t>the Requesto</w:t>
      </w:r>
      <w:r w:rsidR="00441B21">
        <w:t>rs were no longer</w:t>
      </w:r>
      <w:r w:rsidR="001C79A4">
        <w:t xml:space="preserve"> willing to continue in the Consultation Process, go to the ‘Facilitating Settlement’ column and select </w:t>
      </w:r>
      <w:r w:rsidR="00D85B4A">
        <w:t xml:space="preserve">options containing </w:t>
      </w:r>
      <w:r w:rsidR="001C79A4">
        <w:t>‘3r’.</w:t>
      </w:r>
      <w:r w:rsidR="00D85B4A">
        <w:t xml:space="preserve"> Note that there may be multiple reasons that a case was stopped</w:t>
      </w:r>
      <w:r w:rsidR="00DF4AA1">
        <w:t>, no matter which stage of the consultation phase or i</w:t>
      </w:r>
      <w:r w:rsidR="00D85B4A">
        <w:t>nvestigation</w:t>
      </w:r>
      <w:r w:rsidR="00DF4AA1">
        <w:t xml:space="preserve"> p</w:t>
      </w:r>
      <w:r w:rsidR="00D85B4A">
        <w:t>hase</w:t>
      </w:r>
      <w:r w:rsidR="00467160">
        <w:t xml:space="preserve"> it happened in</w:t>
      </w:r>
      <w:r w:rsidR="00D85B4A">
        <w:t xml:space="preserve">. </w:t>
      </w:r>
    </w:p>
    <w:p w:rsidR="00FE09E1" w:rsidP="003C7ADC" w:rsidRDefault="00FE09E1" w14:paraId="31B6E835" w14:textId="2B24B6C3">
      <w:pPr>
        <w:pStyle w:val="ListParagraph"/>
        <w:numPr>
          <w:ilvl w:val="0"/>
          <w:numId w:val="29"/>
        </w:numPr>
        <w:spacing w:line="276" w:lineRule="auto"/>
        <w:ind w:left="993" w:hanging="426"/>
      </w:pPr>
      <w:r>
        <w:t xml:space="preserve">To </w:t>
      </w:r>
      <w:r w:rsidR="00DF4AA1">
        <w:t>see all cases that went to the investigation p</w:t>
      </w:r>
      <w:r>
        <w:t xml:space="preserve">hase, </w:t>
      </w:r>
      <w:r w:rsidR="0082029B">
        <w:t>deselect ‘Blanks’ in the ‘Under Appraisal’ column.</w:t>
      </w:r>
    </w:p>
    <w:p w:rsidR="0082029B" w:rsidP="003C7ADC" w:rsidRDefault="0082029B" w14:paraId="3DADF7A4" w14:textId="1905ADA9">
      <w:pPr>
        <w:pStyle w:val="ListParagraph"/>
        <w:numPr>
          <w:ilvl w:val="0"/>
          <w:numId w:val="29"/>
        </w:numPr>
        <w:spacing w:line="276" w:lineRule="auto"/>
        <w:ind w:left="993" w:hanging="426"/>
      </w:pPr>
      <w:r>
        <w:t>To see all c</w:t>
      </w:r>
      <w:r w:rsidR="00DF4AA1">
        <w:t>ases that went straight to the investigation phase without a consultation p</w:t>
      </w:r>
      <w:r>
        <w:t>hase, select ‘Blanks’ in the ‘Eligible’ column.</w:t>
      </w:r>
    </w:p>
    <w:p w:rsidR="003C7ADC" w:rsidP="003C7ADC" w:rsidRDefault="00D60DF5" w14:paraId="35ABDB99" w14:textId="7D8599C9">
      <w:pPr>
        <w:pStyle w:val="ListParagraph"/>
        <w:numPr>
          <w:ilvl w:val="0"/>
          <w:numId w:val="29"/>
        </w:numPr>
        <w:spacing w:line="276" w:lineRule="auto"/>
        <w:ind w:left="993" w:hanging="426"/>
      </w:pPr>
      <w:r>
        <w:t>To see all cases that have been/are being investigated</w:t>
      </w:r>
      <w:r w:rsidR="003C7ADC">
        <w:t xml:space="preserve">, </w:t>
      </w:r>
      <w:r>
        <w:t>deselect</w:t>
      </w:r>
      <w:r w:rsidR="003C7ADC">
        <w:t xml:space="preserve"> ‘</w:t>
      </w:r>
      <w:r>
        <w:t>Blanks’</w:t>
      </w:r>
      <w:r w:rsidR="003C7ADC">
        <w:t xml:space="preserve"> in the </w:t>
      </w:r>
      <w:r>
        <w:t>‘</w:t>
      </w:r>
      <w:r w:rsidR="00FC4043">
        <w:t>Investigation’</w:t>
      </w:r>
      <w:r w:rsidR="003C7ADC">
        <w:t xml:space="preserve"> column.</w:t>
      </w:r>
    </w:p>
    <w:p w:rsidRPr="00467160" w:rsidR="003C7ADC" w:rsidP="0014689A" w:rsidRDefault="0014689A" w14:paraId="54FF27A9" w14:textId="06861A63">
      <w:pPr>
        <w:pStyle w:val="ListParagraph"/>
        <w:numPr>
          <w:ilvl w:val="0"/>
          <w:numId w:val="29"/>
        </w:numPr>
        <w:spacing w:line="276" w:lineRule="auto"/>
        <w:ind w:left="993" w:hanging="426"/>
        <w:rPr>
          <w:i/>
        </w:rPr>
      </w:pPr>
      <w:r>
        <w:t xml:space="preserve">To see all cases </w:t>
      </w:r>
      <w:r w:rsidR="00DF4AA1">
        <w:t>where the i</w:t>
      </w:r>
      <w:r w:rsidR="001C79A4">
        <w:t>nvestigation found non-compliance with Umbrella/Generic Social and Environmental Policies, select all cases that include ‘A’ in the ‘Investi</w:t>
      </w:r>
      <w:r w:rsidR="006A5864">
        <w:t>gation’ column.</w:t>
      </w:r>
      <w:r w:rsidR="00FC4043">
        <w:t xml:space="preserve"> This can also be done using the search bar in the filter menu.</w:t>
      </w:r>
    </w:p>
    <w:p w:rsidR="00467160" w:rsidP="00467160" w:rsidRDefault="00467160" w14:paraId="479FA6ED" w14:textId="77777777">
      <w:pPr>
        <w:spacing w:line="276" w:lineRule="auto"/>
        <w:rPr>
          <w:i/>
        </w:rPr>
      </w:pPr>
    </w:p>
    <w:p w:rsidRPr="00467160" w:rsidR="00467160" w:rsidP="00467160" w:rsidRDefault="00467160" w14:paraId="61730D3F" w14:textId="25466A24">
      <w:pPr>
        <w:spacing w:line="276" w:lineRule="auto"/>
        <w:rPr>
          <w:i/>
        </w:rPr>
      </w:pPr>
      <w:r>
        <w:rPr>
          <w:i/>
        </w:rPr>
        <w:t>There are countless permutations and combinations available to the user; these examples are only designed to give a sample of the functionality.</w:t>
      </w:r>
    </w:p>
    <w:p w:rsidRPr="00F8655C" w:rsidR="00F8655C" w:rsidP="00F8655C" w:rsidRDefault="00F8655C" w14:paraId="4847CD43" w14:textId="77777777">
      <w:pPr>
        <w:spacing w:line="276" w:lineRule="auto"/>
      </w:pPr>
    </w:p>
    <w:p w:rsidRPr="00C063B1" w:rsidR="00F8655C" w:rsidP="00F8655C" w:rsidRDefault="00F8655C" w14:paraId="6465F25F" w14:textId="620E2623">
      <w:pPr>
        <w:spacing w:line="276" w:lineRule="auto"/>
        <w:sectPr w:rsidRPr="00C063B1" w:rsidR="00F8655C" w:rsidSect="001561E1">
          <w:pgSz w:w="11900" w:h="16840" w:orient="portrait"/>
          <w:pgMar w:top="1440" w:right="1418" w:bottom="1440" w:left="1418" w:header="708" w:footer="708" w:gutter="0"/>
          <w:cols w:space="708"/>
          <w:docGrid w:linePitch="360"/>
        </w:sectPr>
      </w:pPr>
    </w:p>
    <w:p w:rsidRPr="004C0219" w:rsidR="003536F0" w:rsidP="007A05F8" w:rsidRDefault="004C0219" w14:paraId="77C64326" w14:textId="5154640F">
      <w:pPr>
        <w:spacing w:line="276" w:lineRule="auto"/>
        <w:jc w:val="center"/>
        <w:rPr>
          <w:sz w:val="38"/>
          <w:szCs w:val="38"/>
          <w:u w:val="single"/>
        </w:rPr>
      </w:pPr>
      <w:r w:rsidRPr="004C0219">
        <w:rPr>
          <w:sz w:val="38"/>
          <w:szCs w:val="38"/>
          <w:u w:val="single"/>
        </w:rPr>
        <w:lastRenderedPageBreak/>
        <w:t xml:space="preserve">3. </w:t>
      </w:r>
      <w:r w:rsidRPr="004C0219" w:rsidR="002D1B46">
        <w:rPr>
          <w:sz w:val="38"/>
          <w:szCs w:val="38"/>
          <w:u w:val="single"/>
        </w:rPr>
        <w:t>African Development Bank</w:t>
      </w:r>
    </w:p>
    <w:p w:rsidR="00226DBA" w:rsidP="00DF4AA1" w:rsidRDefault="00226DBA" w14:paraId="4C37123D" w14:textId="217FC34F">
      <w:pPr>
        <w:pStyle w:val="ListParagraph"/>
        <w:numPr>
          <w:ilvl w:val="0"/>
          <w:numId w:val="9"/>
        </w:numPr>
        <w:spacing w:line="276" w:lineRule="auto"/>
      </w:pPr>
      <w:r>
        <w:t xml:space="preserve">Information has been collated from the case documents and annual reports on the </w:t>
      </w:r>
      <w:r w:rsidR="008E0635">
        <w:t xml:space="preserve">publicly accessible </w:t>
      </w:r>
      <w:r>
        <w:t xml:space="preserve">IRM </w:t>
      </w:r>
      <w:r w:rsidR="002C13AC">
        <w:t xml:space="preserve">(AfDB) </w:t>
      </w:r>
      <w:r>
        <w:t>website of the AfDB</w:t>
      </w:r>
      <w:r w:rsidR="00A54C2C">
        <w:t>.</w:t>
      </w:r>
    </w:p>
    <w:p w:rsidRPr="00D82C40" w:rsidR="00D82C40" w:rsidP="00D82C40" w:rsidRDefault="00D82C40" w14:paraId="405F0734" w14:textId="7323CF5D">
      <w:pPr>
        <w:pStyle w:val="ListParagraph"/>
        <w:numPr>
          <w:ilvl w:val="0"/>
          <w:numId w:val="9"/>
        </w:numPr>
        <w:spacing w:line="276" w:lineRule="auto"/>
        <w:rPr>
          <w:lang w:val="en-US"/>
        </w:rPr>
      </w:pPr>
      <w:r>
        <w:rPr>
          <w:lang w:val="en-US"/>
        </w:rPr>
        <w:t>All project names, case numbers, countries, and years are taken directly as they appear from the website or other relevant documents.</w:t>
      </w:r>
    </w:p>
    <w:p w:rsidR="00DF4AA1" w:rsidP="00DF4AA1" w:rsidRDefault="00F25D12" w14:paraId="27BA0D8C" w14:textId="33643E74">
      <w:pPr>
        <w:pStyle w:val="ListParagraph"/>
        <w:numPr>
          <w:ilvl w:val="0"/>
          <w:numId w:val="9"/>
        </w:numPr>
        <w:spacing w:line="276" w:lineRule="auto"/>
      </w:pPr>
      <w:r>
        <w:t>The AfD</w:t>
      </w:r>
      <w:r w:rsidR="00D531CF">
        <w:t>B</w:t>
      </w:r>
      <w:r>
        <w:t xml:space="preserve"> has only published data on unregistered requests from 2009 – 2015</w:t>
      </w:r>
      <w:r w:rsidR="00226DBA">
        <w:t xml:space="preserve">, available as a separate document on the IRM </w:t>
      </w:r>
      <w:r w:rsidR="002C13AC">
        <w:t xml:space="preserve">(AfDB) </w:t>
      </w:r>
      <w:r w:rsidR="00226DBA">
        <w:t>website</w:t>
      </w:r>
      <w:r w:rsidR="00A54C2C">
        <w:t xml:space="preserve"> titled </w:t>
      </w:r>
      <w:r w:rsidR="00A54C2C">
        <w:rPr>
          <w:i/>
        </w:rPr>
        <w:t>African Development Bank – Register of Unregistered Requests</w:t>
      </w:r>
      <w:r w:rsidR="00A54C2C">
        <w:t>.</w:t>
      </w:r>
    </w:p>
    <w:p w:rsidR="003536F0" w:rsidP="003536F0" w:rsidRDefault="00F25D12" w14:paraId="392461F7" w14:textId="27A68563">
      <w:pPr>
        <w:pStyle w:val="ListParagraph"/>
        <w:numPr>
          <w:ilvl w:val="0"/>
          <w:numId w:val="9"/>
        </w:numPr>
        <w:spacing w:line="276" w:lineRule="auto"/>
      </w:pPr>
      <w:r>
        <w:t>It is unclear whether there have been other unregistered re</w:t>
      </w:r>
      <w:r w:rsidR="003536F0">
        <w:t xml:space="preserve">quests outside this </w:t>
      </w:r>
      <w:proofErr w:type="gramStart"/>
      <w:r w:rsidR="003536F0">
        <w:t>time period</w:t>
      </w:r>
      <w:proofErr w:type="gramEnd"/>
      <w:r w:rsidR="003536F0">
        <w:t>.</w:t>
      </w:r>
      <w:r w:rsidR="00226DBA">
        <w:t xml:space="preserve"> There are no case numbers given for unregistered cases</w:t>
      </w:r>
      <w:r w:rsidR="004255B4">
        <w:t xml:space="preserve"> – this missing information is represented by a question mark (?)</w:t>
      </w:r>
      <w:r w:rsidR="00226DBA">
        <w:t>.</w:t>
      </w:r>
    </w:p>
    <w:p w:rsidR="003536F0" w:rsidP="003536F0" w:rsidRDefault="003536F0" w14:paraId="53B60A57" w14:textId="606A064C">
      <w:pPr>
        <w:spacing w:line="276" w:lineRule="auto"/>
      </w:pPr>
    </w:p>
    <w:p w:rsidRPr="00497837" w:rsidR="005C69D0" w:rsidP="003536F0" w:rsidRDefault="00497837" w14:paraId="030E07C4" w14:textId="34A5CF0B">
      <w:pPr>
        <w:spacing w:line="276" w:lineRule="auto"/>
        <w:rPr>
          <w:b/>
          <w:i/>
        </w:rPr>
      </w:pPr>
      <w:r>
        <w:rPr>
          <w:b/>
          <w:i/>
        </w:rPr>
        <w:t xml:space="preserve">3.1. </w:t>
      </w:r>
      <w:r w:rsidR="003C2A51">
        <w:rPr>
          <w:b/>
          <w:i/>
        </w:rPr>
        <w:t>Processing Procedure</w:t>
      </w:r>
    </w:p>
    <w:p w:rsidRPr="005C69D0" w:rsidR="005C69D0" w:rsidP="005C69D0" w:rsidRDefault="003C2A51" w14:paraId="32135058" w14:textId="3F0B51CC">
      <w:pPr>
        <w:spacing w:line="276" w:lineRule="auto"/>
      </w:pPr>
      <w:r>
        <w:rPr>
          <w:lang w:val="en-AU"/>
        </w:rPr>
        <w:t xml:space="preserve">Under the IRM (AfDB) </w:t>
      </w:r>
      <w:r w:rsidRPr="00A54C2C">
        <w:rPr>
          <w:lang w:val="en-AU"/>
        </w:rPr>
        <w:t>R</w:t>
      </w:r>
      <w:r w:rsidRPr="00A54C2C" w:rsidR="0070122C">
        <w:rPr>
          <w:lang w:val="en-AU"/>
        </w:rPr>
        <w:t xml:space="preserve">equestors </w:t>
      </w:r>
      <w:r w:rsidRPr="00A54C2C" w:rsidR="00A54C2C">
        <w:rPr>
          <w:lang w:val="en-AU"/>
        </w:rPr>
        <w:t>can</w:t>
      </w:r>
      <w:r w:rsidRPr="00A54C2C" w:rsidR="0070122C">
        <w:rPr>
          <w:lang w:val="en-AU"/>
        </w:rPr>
        <w:t xml:space="preserve"> indicate their preference</w:t>
      </w:r>
      <w:r w:rsidR="0070122C">
        <w:rPr>
          <w:lang w:val="en-AU"/>
        </w:rPr>
        <w:t xml:space="preserve"> for either problem solving or a compliance investigation and these would be undertaken separately. </w:t>
      </w:r>
    </w:p>
    <w:p w:rsidRPr="003536F0" w:rsidR="005C69D0" w:rsidP="003536F0" w:rsidRDefault="005C69D0" w14:paraId="4C4C9C41" w14:textId="77777777">
      <w:pPr>
        <w:spacing w:line="276" w:lineRule="auto"/>
        <w:sectPr w:rsidRPr="003536F0" w:rsidR="005C69D0" w:rsidSect="006204D0">
          <w:pgSz w:w="11900" w:h="16840" w:orient="portrait"/>
          <w:pgMar w:top="1440" w:right="1418" w:bottom="1440" w:left="1418" w:header="709" w:footer="709" w:gutter="0"/>
          <w:cols w:space="708"/>
          <w:docGrid w:linePitch="360"/>
        </w:sectPr>
      </w:pPr>
    </w:p>
    <w:p w:rsidRPr="004C0219" w:rsidR="00C063B1" w:rsidP="002D1B46" w:rsidRDefault="004C0219" w14:paraId="1299E95D" w14:textId="2D8F82CB">
      <w:pPr>
        <w:spacing w:line="276" w:lineRule="auto"/>
        <w:jc w:val="center"/>
        <w:rPr>
          <w:sz w:val="38"/>
          <w:szCs w:val="38"/>
          <w:u w:val="single"/>
        </w:rPr>
      </w:pPr>
      <w:r w:rsidRPr="004C0219">
        <w:rPr>
          <w:sz w:val="38"/>
          <w:szCs w:val="38"/>
          <w:u w:val="single"/>
        </w:rPr>
        <w:lastRenderedPageBreak/>
        <w:t xml:space="preserve">4. </w:t>
      </w:r>
      <w:r w:rsidRPr="004C0219" w:rsidR="00C063B1">
        <w:rPr>
          <w:sz w:val="38"/>
          <w:szCs w:val="38"/>
          <w:u w:val="single"/>
        </w:rPr>
        <w:t>Asian Development Bank</w:t>
      </w:r>
    </w:p>
    <w:p w:rsidR="00AE52CC" w:rsidP="00D476E1" w:rsidRDefault="00AE52CC" w14:paraId="631D4EDA" w14:textId="3485FF97">
      <w:pPr>
        <w:pStyle w:val="ListParagraph"/>
        <w:numPr>
          <w:ilvl w:val="0"/>
          <w:numId w:val="4"/>
        </w:numPr>
        <w:spacing w:line="276" w:lineRule="auto"/>
        <w:contextualSpacing w:val="0"/>
      </w:pPr>
      <w:r>
        <w:t>The OSPF and the CRP are together referred to as t</w:t>
      </w:r>
      <w:r w:rsidR="00DF4AA1">
        <w:t>he ADB Accountability Mechanism</w:t>
      </w:r>
      <w:r w:rsidR="00A54C2C">
        <w:t>.</w:t>
      </w:r>
    </w:p>
    <w:p w:rsidR="00033B3A" w:rsidP="006A6859" w:rsidRDefault="00033B3A" w14:paraId="1198F1BA" w14:textId="4016DADE">
      <w:pPr>
        <w:pStyle w:val="ListParagraph"/>
        <w:numPr>
          <w:ilvl w:val="0"/>
          <w:numId w:val="4"/>
        </w:numPr>
        <w:spacing w:line="276" w:lineRule="auto"/>
        <w:contextualSpacing w:val="0"/>
      </w:pPr>
      <w:r>
        <w:t xml:space="preserve">Information has been collated from the case documents and annual reports on the </w:t>
      </w:r>
      <w:r w:rsidR="008E0635">
        <w:t>publicly accessible</w:t>
      </w:r>
      <w:r w:rsidR="00A274F1">
        <w:t xml:space="preserve"> </w:t>
      </w:r>
      <w:r>
        <w:t>OS</w:t>
      </w:r>
      <w:r w:rsidR="008E0635">
        <w:t>PF and CRP websites of the ADB.</w:t>
      </w:r>
      <w:r w:rsidR="007C7A79">
        <w:t xml:space="preserve"> </w:t>
      </w:r>
    </w:p>
    <w:p w:rsidR="007C7A79" w:rsidP="006A6859" w:rsidRDefault="007C7A79" w14:paraId="47D7489F" w14:textId="5057366E">
      <w:pPr>
        <w:pStyle w:val="ListParagraph"/>
        <w:numPr>
          <w:ilvl w:val="0"/>
          <w:numId w:val="4"/>
        </w:numPr>
        <w:spacing w:line="276" w:lineRule="auto"/>
        <w:contextualSpacing w:val="0"/>
      </w:pPr>
      <w:r>
        <w:t xml:space="preserve">Additional complaints have been added to the spreadsheet based on information collated on the </w:t>
      </w:r>
      <w:r w:rsidRPr="007C7A79">
        <w:t>Complaint Receiving Officer's Complaints Registry</w:t>
      </w:r>
      <w:r>
        <w:t xml:space="preserve"> (CRO). Complaints received by the CRO are either forwarded to the relevant ADB department, which includes the OSPF and OCRP</w:t>
      </w:r>
      <w:r w:rsidR="0056400B">
        <w:t xml:space="preserve">, or found ineligible and closed without being forwarded. Only the most recent complaints received by the CRO appear on the website, so some historical complaints are no longer online and have been accessed through the web archive. </w:t>
      </w:r>
      <w:r w:rsidR="00806813">
        <w:t xml:space="preserve">Those complaints that do not </w:t>
      </w:r>
      <w:r w:rsidR="0056400B">
        <w:t xml:space="preserve">appear </w:t>
      </w:r>
      <w:r w:rsidR="00806813">
        <w:t xml:space="preserve">to have been forwarded to the </w:t>
      </w:r>
      <w:r w:rsidR="00B54525">
        <w:t>O</w:t>
      </w:r>
      <w:r w:rsidR="00806813">
        <w:t xml:space="preserve">CRP or OSPF appear </w:t>
      </w:r>
      <w:r w:rsidR="0056400B">
        <w:t>not in green</w:t>
      </w:r>
      <w:r w:rsidR="009718EF">
        <w:t xml:space="preserve"> (for the OSPF) or</w:t>
      </w:r>
      <w:r w:rsidR="0056400B">
        <w:t xml:space="preserve"> </w:t>
      </w:r>
      <w:r w:rsidR="009718EF">
        <w:t xml:space="preserve">blue (for the CRP) </w:t>
      </w:r>
      <w:r w:rsidR="0056400B">
        <w:t xml:space="preserve">but in black in the spreadsheet. </w:t>
      </w:r>
      <w:r w:rsidR="00EC230F">
        <w:t xml:space="preserve"> </w:t>
      </w:r>
    </w:p>
    <w:p w:rsidR="00033B3A" w:rsidP="00033B3A" w:rsidRDefault="00033B3A" w14:paraId="7395E009" w14:textId="1FD2FDEC">
      <w:pPr>
        <w:pStyle w:val="ListParagraph"/>
        <w:numPr>
          <w:ilvl w:val="0"/>
          <w:numId w:val="4"/>
        </w:numPr>
        <w:spacing w:line="276" w:lineRule="auto"/>
      </w:pPr>
      <w:r>
        <w:t>Some data has also been collated from historical case documents and annual reports that were previously publicly available but are no longer online.</w:t>
      </w:r>
    </w:p>
    <w:p w:rsidRPr="00D82C40" w:rsidR="00D82C40" w:rsidP="00D82C40" w:rsidRDefault="00D82C40" w14:paraId="39A889A1" w14:textId="47CF1F98">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w:t>
      </w:r>
    </w:p>
    <w:p w:rsidR="00033B3A" w:rsidP="00033B3A" w:rsidRDefault="00033B3A" w14:paraId="389D1FA5" w14:textId="1F5C076F">
      <w:pPr>
        <w:pStyle w:val="ListParagraph"/>
        <w:numPr>
          <w:ilvl w:val="0"/>
          <w:numId w:val="4"/>
        </w:numPr>
        <w:spacing w:line="276" w:lineRule="auto"/>
      </w:pPr>
      <w:r>
        <w:t>For</w:t>
      </w:r>
      <w:r w:rsidR="00D476E1">
        <w:t xml:space="preserve"> the ADB, the OSPF handles the consultation </w:t>
      </w:r>
      <w:proofErr w:type="gramStart"/>
      <w:r w:rsidR="00D476E1">
        <w:t>phase</w:t>
      </w:r>
      <w:proofErr w:type="gramEnd"/>
      <w:r w:rsidR="00D476E1">
        <w:t xml:space="preserve"> and the CRP handles the investigation p</w:t>
      </w:r>
      <w:r>
        <w:t>hase. The Inspection F</w:t>
      </w:r>
      <w:r w:rsidR="00D476E1">
        <w:t>unction (Historic) only had an investigation p</w:t>
      </w:r>
      <w:r>
        <w:t>hase.</w:t>
      </w:r>
    </w:p>
    <w:p w:rsidR="00033B3A" w:rsidP="00033B3A" w:rsidRDefault="00033B3A" w14:paraId="7FE3590A" w14:textId="3636442E">
      <w:pPr>
        <w:pStyle w:val="ListParagraph"/>
        <w:numPr>
          <w:ilvl w:val="0"/>
          <w:numId w:val="4"/>
        </w:numPr>
        <w:spacing w:line="276" w:lineRule="auto"/>
      </w:pPr>
      <w:r>
        <w:t>Inspection Function (Historic), OSPF, and CRP have all been combined into the same spreadsheet.</w:t>
      </w:r>
    </w:p>
    <w:p w:rsidR="00033B3A" w:rsidP="00033B3A" w:rsidRDefault="00033B3A" w14:paraId="7DEA545F" w14:textId="77777777">
      <w:pPr>
        <w:pStyle w:val="ListParagraph"/>
        <w:numPr>
          <w:ilvl w:val="0"/>
          <w:numId w:val="4"/>
        </w:numPr>
        <w:spacing w:line="276" w:lineRule="auto"/>
      </w:pPr>
      <w:r>
        <w:t>The case numbering is as follows:</w:t>
      </w:r>
    </w:p>
    <w:p w:rsidR="00033B3A" w:rsidP="00987A75" w:rsidRDefault="00033B3A" w14:paraId="21B3C8F6" w14:textId="27251BD6">
      <w:pPr>
        <w:pStyle w:val="ListParagraph"/>
        <w:numPr>
          <w:ilvl w:val="1"/>
          <w:numId w:val="26"/>
        </w:numPr>
        <w:spacing w:line="276" w:lineRule="auto"/>
      </w:pPr>
      <w:r>
        <w:t xml:space="preserve">Inspection Function (Historic) has no case numbers so </w:t>
      </w:r>
      <w:r w:rsidR="00F7000D">
        <w:t xml:space="preserve">cases </w:t>
      </w:r>
      <w:r>
        <w:t>have been numbered sequentially by the author.</w:t>
      </w:r>
    </w:p>
    <w:p w:rsidR="00033B3A" w:rsidP="00987A75" w:rsidRDefault="00033B3A" w14:paraId="093146EF" w14:textId="77777777">
      <w:pPr>
        <w:pStyle w:val="ListParagraph"/>
        <w:numPr>
          <w:ilvl w:val="1"/>
          <w:numId w:val="26"/>
        </w:numPr>
        <w:spacing w:line="276" w:lineRule="auto"/>
      </w:pPr>
      <w:r>
        <w:t>OSPF case numbers are in green</w:t>
      </w:r>
    </w:p>
    <w:p w:rsidR="00033B3A" w:rsidP="00987A75" w:rsidRDefault="00033B3A" w14:paraId="427AEFD4" w14:textId="77777777">
      <w:pPr>
        <w:pStyle w:val="ListParagraph"/>
        <w:numPr>
          <w:ilvl w:val="1"/>
          <w:numId w:val="26"/>
        </w:numPr>
        <w:spacing w:line="276" w:lineRule="auto"/>
      </w:pPr>
      <w:r>
        <w:t>CRP case numbers are in blue</w:t>
      </w:r>
    </w:p>
    <w:p w:rsidRPr="00320D4C" w:rsidR="00033B3A" w:rsidP="00D476E1" w:rsidRDefault="00033B3A" w14:paraId="014F69EB" w14:textId="74F6BC63">
      <w:pPr>
        <w:pStyle w:val="ListParagraph"/>
        <w:numPr>
          <w:ilvl w:val="1"/>
          <w:numId w:val="26"/>
        </w:numPr>
        <w:spacing w:line="276" w:lineRule="auto"/>
        <w:rPr>
          <w:lang w:val="en-US"/>
        </w:rPr>
      </w:pPr>
      <w:r>
        <w:t xml:space="preserve">Case numbers in black come from a document titled </w:t>
      </w:r>
      <w:r w:rsidRPr="00320D4C">
        <w:rPr>
          <w:i/>
          <w:lang w:val="en-US"/>
        </w:rPr>
        <w:t>Asian Development Bank Accountability Mechanism Complaint Receiving Officer’s Complaints Registry</w:t>
      </w:r>
      <w:r w:rsidR="00A54C2C">
        <w:rPr>
          <w:i/>
          <w:lang w:val="en-US"/>
        </w:rPr>
        <w:t>.</w:t>
      </w:r>
    </w:p>
    <w:p w:rsidR="00033B3A" w:rsidP="00987A75" w:rsidRDefault="00033B3A" w14:paraId="5E9EFDF0" w14:textId="37E5010E">
      <w:pPr>
        <w:pStyle w:val="ListParagraph"/>
        <w:numPr>
          <w:ilvl w:val="1"/>
          <w:numId w:val="26"/>
        </w:numPr>
        <w:spacing w:line="276" w:lineRule="auto"/>
        <w:rPr>
          <w:lang w:val="en-US"/>
        </w:rPr>
      </w:pPr>
      <w:r>
        <w:rPr>
          <w:lang w:val="en-US"/>
        </w:rPr>
        <w:t>Some cases will have more than one number</w:t>
      </w:r>
      <w:r w:rsidR="00A274F1">
        <w:rPr>
          <w:lang w:val="en-US"/>
        </w:rPr>
        <w:t xml:space="preserve"> listed</w:t>
      </w:r>
      <w:r>
        <w:rPr>
          <w:lang w:val="en-US"/>
        </w:rPr>
        <w:t>, as the numbering from the bank is not consistent across these sources.</w:t>
      </w:r>
    </w:p>
    <w:p w:rsidR="00033B3A" w:rsidP="00033B3A" w:rsidRDefault="00033B3A" w14:paraId="1480C86B" w14:textId="6262ECB4">
      <w:pPr>
        <w:pStyle w:val="ListParagraph"/>
        <w:numPr>
          <w:ilvl w:val="0"/>
          <w:numId w:val="4"/>
        </w:numPr>
        <w:spacing w:line="276" w:lineRule="auto"/>
        <w:rPr>
          <w:lang w:val="en-US"/>
        </w:rPr>
      </w:pPr>
      <w:r w:rsidRPr="00320D4C">
        <w:rPr>
          <w:lang w:val="en-US"/>
        </w:rPr>
        <w:t>Cases that went from OSPF to CRP are listed as if they were one case (</w:t>
      </w:r>
      <w:proofErr w:type="gramStart"/>
      <w:r w:rsidRPr="00320D4C">
        <w:rPr>
          <w:lang w:val="en-US"/>
        </w:rPr>
        <w:t>i.e.</w:t>
      </w:r>
      <w:proofErr w:type="gramEnd"/>
      <w:r w:rsidRPr="00320D4C">
        <w:rPr>
          <w:lang w:val="en-US"/>
        </w:rPr>
        <w:t xml:space="preserve"> on the same row) but the green case number indicate</w:t>
      </w:r>
      <w:r>
        <w:rPr>
          <w:lang w:val="en-US"/>
        </w:rPr>
        <w:t xml:space="preserve">s OSPF </w:t>
      </w:r>
      <w:r w:rsidR="00D476E1">
        <w:rPr>
          <w:lang w:val="en-US"/>
        </w:rPr>
        <w:t>(c</w:t>
      </w:r>
      <w:r w:rsidRPr="00320D4C">
        <w:rPr>
          <w:lang w:val="en-US"/>
        </w:rPr>
        <w:t>onsultation</w:t>
      </w:r>
      <w:r w:rsidR="00D476E1">
        <w:rPr>
          <w:lang w:val="en-US"/>
        </w:rPr>
        <w:t xml:space="preserve"> p</w:t>
      </w:r>
      <w:r w:rsidRPr="00320D4C">
        <w:rPr>
          <w:lang w:val="en-US"/>
        </w:rPr>
        <w:t>hase) and the b</w:t>
      </w:r>
      <w:r w:rsidR="00D476E1">
        <w:rPr>
          <w:lang w:val="en-US"/>
        </w:rPr>
        <w:t>lue case number indicates CRP (c</w:t>
      </w:r>
      <w:r w:rsidRPr="00320D4C">
        <w:rPr>
          <w:lang w:val="en-US"/>
        </w:rPr>
        <w:t>ompliance</w:t>
      </w:r>
      <w:r w:rsidR="00D476E1">
        <w:rPr>
          <w:lang w:val="en-US"/>
        </w:rPr>
        <w:t xml:space="preserve"> investigation</w:t>
      </w:r>
      <w:r w:rsidRPr="00320D4C">
        <w:rPr>
          <w:lang w:val="en-US"/>
        </w:rPr>
        <w:t xml:space="preserve"> Phase).</w:t>
      </w:r>
    </w:p>
    <w:p w:rsidR="00F25D12" w:rsidP="00F25D12" w:rsidRDefault="00F25D12" w14:paraId="107D15E9" w14:textId="2EFEFA38">
      <w:pPr>
        <w:pStyle w:val="ListParagraph"/>
        <w:numPr>
          <w:ilvl w:val="0"/>
          <w:numId w:val="4"/>
        </w:numPr>
        <w:spacing w:line="276" w:lineRule="auto"/>
        <w:rPr>
          <w:lang w:val="en-US"/>
        </w:rPr>
      </w:pPr>
      <w:r w:rsidRPr="00FD571C">
        <w:rPr>
          <w:lang w:val="en-US"/>
        </w:rPr>
        <w:t>T</w:t>
      </w:r>
      <w:r w:rsidRPr="00FD571C" w:rsidR="0099068B">
        <w:rPr>
          <w:lang w:val="en-US"/>
        </w:rPr>
        <w:t>he ADB has only published data on unregistered cases back to 1</w:t>
      </w:r>
      <w:r w:rsidRPr="00FD571C" w:rsidR="0099068B">
        <w:rPr>
          <w:vertAlign w:val="superscript"/>
          <w:lang w:val="en-US"/>
        </w:rPr>
        <w:t>st</w:t>
      </w:r>
      <w:r w:rsidRPr="00FD571C" w:rsidR="0099068B">
        <w:rPr>
          <w:lang w:val="en-US"/>
        </w:rPr>
        <w:t xml:space="preserve"> June 2012.</w:t>
      </w:r>
    </w:p>
    <w:p w:rsidR="003C2A51" w:rsidP="006F50C9" w:rsidRDefault="003C2A51" w14:paraId="1DFF1EA4" w14:textId="77777777">
      <w:pPr>
        <w:spacing w:line="276" w:lineRule="auto"/>
        <w:rPr>
          <w:b/>
          <w:i/>
        </w:rPr>
      </w:pPr>
    </w:p>
    <w:p w:rsidRPr="006F50C9" w:rsidR="006F50C9" w:rsidP="006F50C9" w:rsidRDefault="006F50C9" w14:paraId="1E34607E" w14:textId="74B66820">
      <w:pPr>
        <w:spacing w:line="276" w:lineRule="auto"/>
        <w:rPr>
          <w:b/>
          <w:i/>
        </w:rPr>
      </w:pPr>
      <w:r>
        <w:rPr>
          <w:b/>
          <w:i/>
        </w:rPr>
        <w:t>4</w:t>
      </w:r>
      <w:r w:rsidR="002B06AC">
        <w:rPr>
          <w:b/>
          <w:i/>
        </w:rPr>
        <w:t>.1</w:t>
      </w:r>
      <w:r w:rsidRPr="00C64617">
        <w:rPr>
          <w:b/>
          <w:i/>
        </w:rPr>
        <w:t xml:space="preserve">. </w:t>
      </w:r>
      <w:r>
        <w:rPr>
          <w:b/>
          <w:i/>
        </w:rPr>
        <w:t>Data Discrepancies</w:t>
      </w:r>
    </w:p>
    <w:p w:rsidRPr="004255B4" w:rsidR="004255B4" w:rsidP="006F50C9" w:rsidRDefault="008957DF" w14:paraId="5C243434" w14:textId="4F2AF1E9">
      <w:pPr>
        <w:spacing w:line="276" w:lineRule="auto"/>
      </w:pPr>
      <w:r>
        <w:t>OSPF Case 2/2014 (CR</w:t>
      </w:r>
      <w:r w:rsidR="000920C8">
        <w:t>P Case 2016/2) in Samoa on the p</w:t>
      </w:r>
      <w:r>
        <w:t xml:space="preserve">roject </w:t>
      </w:r>
      <w:r w:rsidR="000920C8">
        <w:t>‘</w:t>
      </w:r>
      <w:r w:rsidRPr="008957DF">
        <w:t>TAs 8481 and 7387 (SAM): Promoting Economic Use of Customary Land and Grant No. 0392 (SAM): Samoa Agribusiness Support Project</w:t>
      </w:r>
      <w:r w:rsidR="000920C8">
        <w:t>’</w:t>
      </w:r>
      <w:r>
        <w:t xml:space="preserve"> is duplicated in the </w:t>
      </w:r>
      <w:r w:rsidRPr="006F50C9">
        <w:rPr>
          <w:i/>
          <w:lang w:val="en-US"/>
        </w:rPr>
        <w:t xml:space="preserve">Asian Development Bank </w:t>
      </w:r>
      <w:r w:rsidRPr="006F50C9">
        <w:rPr>
          <w:i/>
          <w:lang w:val="en-US"/>
        </w:rPr>
        <w:lastRenderedPageBreak/>
        <w:t xml:space="preserve">Accountability Mechanism Complaint Receiving Officer’s Complaints Registry. </w:t>
      </w:r>
      <w:r w:rsidRPr="006F50C9">
        <w:rPr>
          <w:lang w:val="en-US"/>
        </w:rPr>
        <w:t xml:space="preserve">It is listed once in 2014 when it was first received (01-09-2014) and again when </w:t>
      </w:r>
      <w:r w:rsidR="00497837">
        <w:rPr>
          <w:lang w:val="en-US"/>
        </w:rPr>
        <w:t>Requesto</w:t>
      </w:r>
      <w:r w:rsidRPr="006F50C9" w:rsidR="000920C8">
        <w:rPr>
          <w:lang w:val="en-US"/>
        </w:rPr>
        <w:t xml:space="preserve">rs returned it </w:t>
      </w:r>
      <w:proofErr w:type="gramStart"/>
      <w:r w:rsidRPr="006F50C9" w:rsidR="000920C8">
        <w:rPr>
          <w:lang w:val="en-US"/>
        </w:rPr>
        <w:t>in order to</w:t>
      </w:r>
      <w:proofErr w:type="gramEnd"/>
      <w:r w:rsidRPr="006F50C9" w:rsidR="000920C8">
        <w:rPr>
          <w:lang w:val="en-US"/>
        </w:rPr>
        <w:t xml:space="preserve"> take their case to the Compliance Review Phase (15/2016). For ease, it is only listed once in the spreadsheet (as it is the same case). However, this means</w:t>
      </w:r>
      <w:r w:rsidRPr="006F50C9">
        <w:rPr>
          <w:lang w:val="en-US"/>
        </w:rPr>
        <w:t xml:space="preserve"> </w:t>
      </w:r>
      <w:r w:rsidRPr="006F50C9" w:rsidR="000920C8">
        <w:rPr>
          <w:lang w:val="en-US"/>
        </w:rPr>
        <w:t>there is a gap in the spreadsheet betwee</w:t>
      </w:r>
      <w:r w:rsidRPr="006F50C9" w:rsidR="004255B4">
        <w:rPr>
          <w:lang w:val="en-US"/>
        </w:rPr>
        <w:t>n case 14/2016 and case 16/2016.</w:t>
      </w:r>
    </w:p>
    <w:p w:rsidR="0084216E" w:rsidP="0070122C" w:rsidRDefault="0084216E" w14:paraId="2153F226" w14:textId="77777777">
      <w:pPr>
        <w:spacing w:line="276" w:lineRule="auto"/>
        <w:rPr>
          <w:lang w:val="en-AU"/>
        </w:rPr>
      </w:pPr>
    </w:p>
    <w:p w:rsidR="0084216E" w:rsidP="0070122C" w:rsidRDefault="0084216E" w14:paraId="2C7D69CE" w14:textId="1793FCF5">
      <w:pPr>
        <w:spacing w:line="276" w:lineRule="auto"/>
        <w:rPr>
          <w:lang w:val="en-AU"/>
        </w:rPr>
      </w:pPr>
      <w:r>
        <w:rPr>
          <w:lang w:val="en-AU"/>
        </w:rPr>
        <w:t>Note that policies have changed numbers over time and even been amalgamated with other policies. ADB has published a conversion table that details how its Operations Manual has changed over time. This can be found when searching for ADB Operations Manual using an Internet search engine.</w:t>
      </w:r>
    </w:p>
    <w:p w:rsidR="002B06AC" w:rsidP="002B06AC" w:rsidRDefault="002B06AC" w14:paraId="748BC3F3" w14:textId="77777777">
      <w:pPr>
        <w:spacing w:line="276" w:lineRule="auto"/>
        <w:rPr>
          <w:lang w:val="en-US"/>
        </w:rPr>
      </w:pPr>
    </w:p>
    <w:p w:rsidR="002B06AC" w:rsidP="002B06AC" w:rsidRDefault="002B06AC" w14:paraId="30E929E1" w14:textId="335DEB48">
      <w:pPr>
        <w:spacing w:line="276" w:lineRule="auto"/>
        <w:rPr>
          <w:b/>
          <w:i/>
        </w:rPr>
      </w:pPr>
      <w:r>
        <w:rPr>
          <w:b/>
          <w:i/>
        </w:rPr>
        <w:t>4.2</w:t>
      </w:r>
      <w:r w:rsidRPr="00C64617">
        <w:rPr>
          <w:b/>
          <w:i/>
        </w:rPr>
        <w:t xml:space="preserve">. </w:t>
      </w:r>
      <w:r>
        <w:rPr>
          <w:b/>
          <w:i/>
        </w:rPr>
        <w:t>Processing Procedure</w:t>
      </w:r>
    </w:p>
    <w:p w:rsidRPr="003C2A51" w:rsidR="002B06AC" w:rsidP="002B06AC" w:rsidRDefault="002B06AC" w14:paraId="7BF86617" w14:textId="77777777">
      <w:pPr>
        <w:spacing w:line="276" w:lineRule="auto"/>
        <w:rPr>
          <w:lang w:val="en-AU"/>
        </w:rPr>
      </w:pPr>
      <w:r>
        <w:rPr>
          <w:lang w:val="en-AU"/>
        </w:rPr>
        <w:t xml:space="preserve">Under the Inspection Function there was no </w:t>
      </w:r>
      <w:proofErr w:type="gramStart"/>
      <w:r>
        <w:rPr>
          <w:lang w:val="en-AU"/>
        </w:rPr>
        <w:t>problem solving</w:t>
      </w:r>
      <w:proofErr w:type="gramEnd"/>
      <w:r>
        <w:rPr>
          <w:lang w:val="en-AU"/>
        </w:rPr>
        <w:t xml:space="preserve"> phase. Under the new AM (2003 Policy) Requesto</w:t>
      </w:r>
      <w:r w:rsidRPr="005C69D0">
        <w:rPr>
          <w:lang w:val="en-AU"/>
        </w:rPr>
        <w:t xml:space="preserve">rs had to first go through the consultation phase before they could request a compliance investigation. </w:t>
      </w:r>
      <w:r>
        <w:rPr>
          <w:lang w:val="en-AU"/>
        </w:rPr>
        <w:t>Under the revised 2012 policy,</w:t>
      </w:r>
      <w:r w:rsidRPr="005C69D0">
        <w:rPr>
          <w:lang w:val="en-AU"/>
        </w:rPr>
        <w:t xml:space="preserve"> Requestors can choose either</w:t>
      </w:r>
      <w:r>
        <w:rPr>
          <w:lang w:val="en-AU"/>
        </w:rPr>
        <w:t xml:space="preserve"> the consultation phase or the compliance investigation phase</w:t>
      </w:r>
      <w:r w:rsidRPr="005C69D0">
        <w:rPr>
          <w:lang w:val="en-AU"/>
        </w:rPr>
        <w:t>. If</w:t>
      </w:r>
      <w:r>
        <w:rPr>
          <w:lang w:val="en-AU"/>
        </w:rPr>
        <w:t xml:space="preserve"> a</w:t>
      </w:r>
      <w:r w:rsidRPr="005C69D0">
        <w:rPr>
          <w:lang w:val="en-AU"/>
        </w:rPr>
        <w:t xml:space="preserve"> case is rej</w:t>
      </w:r>
      <w:r>
        <w:rPr>
          <w:lang w:val="en-AU"/>
        </w:rPr>
        <w:t>ected for consultation, Requesto</w:t>
      </w:r>
      <w:r w:rsidRPr="005C69D0">
        <w:rPr>
          <w:lang w:val="en-AU"/>
        </w:rPr>
        <w:t xml:space="preserve">rs may still choose whether they want it assessed for compliance. </w:t>
      </w:r>
    </w:p>
    <w:p w:rsidRPr="005C69D0" w:rsidR="002B06AC" w:rsidP="0070122C" w:rsidRDefault="002B06AC" w14:paraId="154E3674" w14:textId="77777777">
      <w:pPr>
        <w:spacing w:line="276" w:lineRule="auto"/>
      </w:pPr>
    </w:p>
    <w:p w:rsidR="0070122C" w:rsidP="004255B4" w:rsidRDefault="0070122C" w14:paraId="5F10A6D3" w14:textId="77777777">
      <w:pPr>
        <w:spacing w:line="276" w:lineRule="auto"/>
      </w:pPr>
    </w:p>
    <w:p w:rsidRPr="006F50C9" w:rsidR="003C2A51" w:rsidP="004255B4" w:rsidRDefault="003C2A51" w14:paraId="41A2FA84" w14:textId="77777777">
      <w:pPr>
        <w:spacing w:line="276" w:lineRule="auto"/>
        <w:sectPr w:rsidRPr="006F50C9" w:rsidR="003C2A51" w:rsidSect="006204D0">
          <w:pgSz w:w="11900" w:h="16840" w:orient="portrait"/>
          <w:pgMar w:top="1440" w:right="1418" w:bottom="1440" w:left="1418" w:header="709" w:footer="709" w:gutter="0"/>
          <w:cols w:space="708"/>
          <w:docGrid w:linePitch="360"/>
        </w:sectPr>
      </w:pPr>
    </w:p>
    <w:p w:rsidRPr="004C0219" w:rsidR="006204D0" w:rsidP="00D30F3F" w:rsidRDefault="004C0219" w14:paraId="0F69002E" w14:textId="75997C6F">
      <w:pPr>
        <w:spacing w:line="276" w:lineRule="auto"/>
        <w:jc w:val="center"/>
        <w:rPr>
          <w:sz w:val="38"/>
          <w:szCs w:val="38"/>
          <w:u w:val="single"/>
        </w:rPr>
      </w:pPr>
      <w:r w:rsidRPr="004C0219">
        <w:rPr>
          <w:sz w:val="38"/>
          <w:szCs w:val="38"/>
          <w:u w:val="single"/>
        </w:rPr>
        <w:lastRenderedPageBreak/>
        <w:t xml:space="preserve">5. </w:t>
      </w:r>
      <w:r w:rsidRPr="004C0219" w:rsidR="00C063B1">
        <w:rPr>
          <w:sz w:val="38"/>
          <w:szCs w:val="38"/>
          <w:u w:val="single"/>
        </w:rPr>
        <w:t>European Bank for Reconstruction and Development</w:t>
      </w:r>
    </w:p>
    <w:p w:rsidRPr="003212FC" w:rsidR="00A274F1" w:rsidP="000803AD" w:rsidRDefault="00A274F1" w14:paraId="76379463" w14:textId="2C4A61D2">
      <w:pPr>
        <w:pStyle w:val="ListParagraph"/>
        <w:numPr>
          <w:ilvl w:val="0"/>
          <w:numId w:val="4"/>
        </w:numPr>
        <w:spacing w:line="276" w:lineRule="auto"/>
        <w:contextualSpacing w:val="0"/>
      </w:pPr>
      <w:r w:rsidRPr="003212FC">
        <w:t xml:space="preserve">Information has been collated from the case documents and annual reports on the </w:t>
      </w:r>
      <w:r w:rsidRPr="003212FC" w:rsidR="008E0635">
        <w:t xml:space="preserve">publicly accessible </w:t>
      </w:r>
      <w:r w:rsidRPr="003212FC" w:rsidR="003212FC">
        <w:t xml:space="preserve">EBRD </w:t>
      </w:r>
      <w:r w:rsidRPr="003212FC" w:rsidR="006D72B1">
        <w:t>website</w:t>
      </w:r>
      <w:r w:rsidRPr="003212FC" w:rsidR="003212FC">
        <w:t>, which documents both the PCM and IPAM</w:t>
      </w:r>
      <w:r w:rsidRPr="003212FC" w:rsidR="00A55742">
        <w:t>.</w:t>
      </w:r>
    </w:p>
    <w:p w:rsidR="00A274F1" w:rsidP="00364124" w:rsidRDefault="006D72B1" w14:paraId="4D448A0F" w14:textId="178CC66A">
      <w:pPr>
        <w:pStyle w:val="ListParagraph"/>
        <w:numPr>
          <w:ilvl w:val="0"/>
          <w:numId w:val="4"/>
        </w:numPr>
        <w:spacing w:line="276" w:lineRule="auto"/>
      </w:pPr>
      <w:r>
        <w:t xml:space="preserve">This website </w:t>
      </w:r>
      <w:r w:rsidR="003212FC">
        <w:t xml:space="preserve">previously </w:t>
      </w:r>
      <w:r>
        <w:t>include</w:t>
      </w:r>
      <w:r w:rsidR="003212FC">
        <w:t>d</w:t>
      </w:r>
      <w:r>
        <w:t xml:space="preserve"> documents from cases process under the historic IRM</w:t>
      </w:r>
      <w:r w:rsidR="002C13AC">
        <w:t xml:space="preserve"> (EBRD)</w:t>
      </w:r>
      <w:r>
        <w:t>.</w:t>
      </w:r>
    </w:p>
    <w:p w:rsidRPr="00FD571C" w:rsidR="00D82C40" w:rsidP="00D82C40" w:rsidRDefault="00D82C40" w14:paraId="2D6BC4FE" w14:textId="77777777">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w:t>
      </w:r>
    </w:p>
    <w:p w:rsidR="00364124" w:rsidP="00364124" w:rsidRDefault="0099068B" w14:paraId="2C06FB4D" w14:textId="14A9DCAB">
      <w:pPr>
        <w:pStyle w:val="ListParagraph"/>
        <w:numPr>
          <w:ilvl w:val="0"/>
          <w:numId w:val="4"/>
        </w:numPr>
        <w:spacing w:line="276" w:lineRule="auto"/>
      </w:pPr>
      <w:r>
        <w:t xml:space="preserve">The EBRD has only published </w:t>
      </w:r>
      <w:r w:rsidR="00364124">
        <w:t xml:space="preserve">limited </w:t>
      </w:r>
      <w:r w:rsidR="00BE2737">
        <w:t xml:space="preserve">quantitative </w:t>
      </w:r>
      <w:r>
        <w:t>data on unregistered cases</w:t>
      </w:r>
      <w:r w:rsidR="00364124">
        <w:t xml:space="preserve"> for </w:t>
      </w:r>
      <w:r w:rsidR="003212FC">
        <w:t>the</w:t>
      </w:r>
      <w:r w:rsidR="00364124">
        <w:t xml:space="preserve"> IRM</w:t>
      </w:r>
      <w:r w:rsidR="002C13AC">
        <w:t xml:space="preserve"> (EBRD)</w:t>
      </w:r>
      <w:r w:rsidR="00F509B1">
        <w:t>,</w:t>
      </w:r>
      <w:r w:rsidR="00364124">
        <w:t xml:space="preserve"> PCM</w:t>
      </w:r>
      <w:r w:rsidR="00F509B1">
        <w:t xml:space="preserve"> and IPAM</w:t>
      </w:r>
      <w:r w:rsidR="00364124">
        <w:t>.</w:t>
      </w:r>
      <w:r>
        <w:t xml:space="preserve"> </w:t>
      </w:r>
    </w:p>
    <w:p w:rsidR="00364124" w:rsidP="00364124" w:rsidRDefault="00364124" w14:paraId="6759ADD0" w14:textId="52D695F9">
      <w:pPr>
        <w:pStyle w:val="ListParagraph"/>
        <w:numPr>
          <w:ilvl w:val="0"/>
          <w:numId w:val="4"/>
        </w:numPr>
        <w:spacing w:line="276" w:lineRule="auto"/>
      </w:pPr>
      <w:r>
        <w:t xml:space="preserve">Data on unregistered cases from the IRM </w:t>
      </w:r>
      <w:r w:rsidR="002C13AC">
        <w:t xml:space="preserve">(EBRD) </w:t>
      </w:r>
      <w:r>
        <w:t>era is compiled from Annual Reports</w:t>
      </w:r>
      <w:r w:rsidR="00BE2737">
        <w:t xml:space="preserve"> between 2005 and 2008</w:t>
      </w:r>
      <w:r>
        <w:t>. The number of unregistered cases per year is listed but no further information is provided.</w:t>
      </w:r>
      <w:r w:rsidR="004255B4">
        <w:t xml:space="preserve"> This missing information is represented by a question mark (?).</w:t>
      </w:r>
    </w:p>
    <w:p w:rsidR="006C45FF" w:rsidP="002C0ED0" w:rsidRDefault="00364124" w14:paraId="797DD4A8" w14:textId="1EC94493">
      <w:pPr>
        <w:pStyle w:val="ListParagraph"/>
        <w:numPr>
          <w:ilvl w:val="0"/>
          <w:numId w:val="4"/>
        </w:numPr>
        <w:spacing w:line="276" w:lineRule="auto"/>
      </w:pPr>
      <w:r>
        <w:t>Data on unregistered cases from the PCM era is provided i</w:t>
      </w:r>
      <w:r w:rsidR="0099068B">
        <w:t xml:space="preserve">n </w:t>
      </w:r>
      <w:r>
        <w:t>the</w:t>
      </w:r>
      <w:r w:rsidR="0099068B">
        <w:t xml:space="preserve"> </w:t>
      </w:r>
      <w:r w:rsidR="00EF3601">
        <w:t>2010-</w:t>
      </w:r>
      <w:r w:rsidR="0099068B">
        <w:t>2016 Annual Report</w:t>
      </w:r>
      <w:r w:rsidR="00EF3601">
        <w:t>s</w:t>
      </w:r>
      <w:r w:rsidR="00BE2737">
        <w:t>.</w:t>
      </w:r>
      <w:r w:rsidRPr="00BE2737" w:rsidR="00BE2737">
        <w:t xml:space="preserve"> </w:t>
      </w:r>
      <w:r w:rsidR="00BE2737">
        <w:t xml:space="preserve">The number of unregistered cases per year for the period 2010-2016 is listed </w:t>
      </w:r>
      <w:r w:rsidR="00EF3601">
        <w:t>and there is sometimes a sentence about reasons for rejection</w:t>
      </w:r>
      <w:r w:rsidR="00BE2737">
        <w:t>.</w:t>
      </w:r>
      <w:r w:rsidR="00E80B40">
        <w:t xml:space="preserve"> Missing information is represented by a question mark (?).</w:t>
      </w:r>
    </w:p>
    <w:p w:rsidR="003C2A51" w:rsidP="002C0ED0" w:rsidRDefault="003C2A51" w14:paraId="3FA0FB07" w14:textId="77777777">
      <w:pPr>
        <w:spacing w:line="276" w:lineRule="auto"/>
      </w:pPr>
    </w:p>
    <w:p w:rsidRPr="00C64617" w:rsidR="00EF7CDC" w:rsidP="00EF7CDC" w:rsidRDefault="00EF7CDC" w14:paraId="4F9A6DB1" w14:textId="10006899">
      <w:pPr>
        <w:spacing w:line="276" w:lineRule="auto"/>
        <w:rPr>
          <w:b/>
          <w:i/>
        </w:rPr>
      </w:pPr>
      <w:r>
        <w:rPr>
          <w:b/>
          <w:i/>
        </w:rPr>
        <w:t>5</w:t>
      </w:r>
      <w:r w:rsidR="003C2A51">
        <w:rPr>
          <w:b/>
          <w:i/>
        </w:rPr>
        <w:t>.1</w:t>
      </w:r>
      <w:r w:rsidRPr="00C64617">
        <w:rPr>
          <w:b/>
          <w:i/>
        </w:rPr>
        <w:t xml:space="preserve">. </w:t>
      </w:r>
      <w:r w:rsidR="006F50C9">
        <w:rPr>
          <w:b/>
          <w:i/>
        </w:rPr>
        <w:t>Data Discrepancies</w:t>
      </w:r>
    </w:p>
    <w:p w:rsidRPr="00CF1789" w:rsidR="006204D0" w:rsidP="00EF7CDC" w:rsidRDefault="001F05E8" w14:paraId="50B8D6A4" w14:textId="65BEB67A">
      <w:pPr>
        <w:spacing w:line="276" w:lineRule="auto"/>
      </w:pPr>
      <w:r w:rsidRPr="00CF1789">
        <w:t xml:space="preserve">Under the </w:t>
      </w:r>
      <w:r w:rsidR="000803AD">
        <w:t xml:space="preserve">IRM </w:t>
      </w:r>
      <w:r w:rsidR="00CA7279">
        <w:t>(EBRD) 2009 (and 2014)</w:t>
      </w:r>
      <w:r w:rsidR="000803AD">
        <w:t xml:space="preserve"> </w:t>
      </w:r>
      <w:r w:rsidRPr="00CF1789">
        <w:t xml:space="preserve">Rules of Procedure, a </w:t>
      </w:r>
      <w:r w:rsidR="00497837">
        <w:t>Request</w:t>
      </w:r>
      <w:r w:rsidRPr="00CF1789">
        <w:t xml:space="preserve"> may be suspended for further proces</w:t>
      </w:r>
      <w:r w:rsidR="00497837">
        <w:t>sing in cases where the Requesto</w:t>
      </w:r>
      <w:r w:rsidRPr="00CF1789">
        <w:t xml:space="preserve">r has not made previous attempts to raise their concerns with Management. The PCM Officer can waive this requirement if such efforts </w:t>
      </w:r>
      <w:r w:rsidR="00497837">
        <w:t>would be harmful to the Requesto</w:t>
      </w:r>
      <w:r w:rsidRPr="00CF1789">
        <w:t xml:space="preserve">r or futile. </w:t>
      </w:r>
    </w:p>
    <w:p w:rsidRPr="00CF1789" w:rsidR="001F05E8" w:rsidP="00EF7CDC" w:rsidRDefault="001F05E8" w14:paraId="1ED197FB" w14:textId="77777777">
      <w:pPr>
        <w:spacing w:line="276" w:lineRule="auto"/>
      </w:pPr>
    </w:p>
    <w:p w:rsidRPr="003C2A51" w:rsidR="00E80B40" w:rsidP="00EF7CDC" w:rsidRDefault="001F05E8" w14:paraId="567AE004" w14:textId="6FF7C849">
      <w:pPr>
        <w:spacing w:line="276" w:lineRule="auto"/>
      </w:pPr>
      <w:r w:rsidRPr="00CF1789">
        <w:t xml:space="preserve">Due to the ability of </w:t>
      </w:r>
      <w:r w:rsidRPr="00CF1789" w:rsidR="00BE415D">
        <w:t xml:space="preserve">the PCM to suspend cases, the count of cases per year varies across the Annual Reports as a suspended case from a previous year might be closed without it being </w:t>
      </w:r>
      <w:r w:rsidRPr="00CF1789" w:rsidR="00E02E4C">
        <w:t xml:space="preserve">registered or officially included as non-registered. Annual reports from 2013 onwards include a case count for each year since the beginning of the PCM. The variation in figures of registered (R) and non-registered (NR) cases is given in the table below. </w:t>
      </w:r>
    </w:p>
    <w:tbl>
      <w:tblPr>
        <w:tblW w:w="9348" w:type="dxa"/>
        <w:tblInd w:w="93" w:type="dxa"/>
        <w:tblLayout w:type="fixed"/>
        <w:tblLook w:val="04A0" w:firstRow="1" w:lastRow="0" w:firstColumn="1" w:lastColumn="0" w:noHBand="0" w:noVBand="1"/>
      </w:tblPr>
      <w:tblGrid>
        <w:gridCol w:w="2241"/>
        <w:gridCol w:w="507"/>
        <w:gridCol w:w="507"/>
        <w:gridCol w:w="507"/>
        <w:gridCol w:w="507"/>
        <w:gridCol w:w="507"/>
        <w:gridCol w:w="508"/>
        <w:gridCol w:w="508"/>
        <w:gridCol w:w="508"/>
        <w:gridCol w:w="508"/>
        <w:gridCol w:w="508"/>
        <w:gridCol w:w="508"/>
        <w:gridCol w:w="508"/>
        <w:gridCol w:w="508"/>
        <w:gridCol w:w="508"/>
      </w:tblGrid>
      <w:tr w:rsidRPr="00BE415D" w:rsidR="000305F2" w:rsidTr="00E02E4C" w14:paraId="38B6132D" w14:textId="77777777">
        <w:trPr>
          <w:trHeight w:val="284"/>
        </w:trPr>
        <w:tc>
          <w:tcPr>
            <w:tcW w:w="2241" w:type="dxa"/>
            <w:vMerge w:val="restart"/>
            <w:tcBorders>
              <w:top w:val="single" w:color="auto" w:sz="8" w:space="0"/>
              <w:left w:val="single" w:color="auto" w:sz="8" w:space="0"/>
              <w:bottom w:val="single" w:color="000000" w:sz="8" w:space="0"/>
              <w:right w:val="single" w:color="000000" w:sz="8" w:space="0"/>
            </w:tcBorders>
            <w:shd w:val="clear" w:color="auto" w:fill="auto"/>
            <w:noWrap/>
            <w:vAlign w:val="center"/>
            <w:hideMark/>
          </w:tcPr>
          <w:p w:rsidRPr="00BE415D" w:rsidR="00BE415D" w:rsidP="00BE415D" w:rsidRDefault="00BE415D" w14:paraId="21704088" w14:textId="77777777">
            <w:pPr>
              <w:jc w:val="center"/>
              <w:rPr>
                <w:rFonts w:ascii="Calibri" w:hAnsi="Calibri" w:eastAsia="Times New Roman" w:cs="Times New Roman"/>
                <w:b/>
                <w:bCs/>
                <w:color w:val="000000"/>
                <w:sz w:val="40"/>
                <w:szCs w:val="40"/>
                <w:lang w:val="en-AU"/>
              </w:rPr>
            </w:pPr>
            <w:r w:rsidRPr="00BE415D">
              <w:rPr>
                <w:rFonts w:ascii="Calibri" w:hAnsi="Calibri" w:eastAsia="Times New Roman" w:cs="Times New Roman"/>
                <w:b/>
                <w:bCs/>
                <w:color w:val="000000"/>
                <w:sz w:val="40"/>
                <w:szCs w:val="40"/>
                <w:lang w:val="en-AU"/>
              </w:rPr>
              <w:t> </w:t>
            </w:r>
          </w:p>
        </w:tc>
        <w:tc>
          <w:tcPr>
            <w:tcW w:w="1014" w:type="dxa"/>
            <w:gridSpan w:val="2"/>
            <w:tcBorders>
              <w:top w:val="single" w:color="auto" w:sz="8" w:space="0"/>
              <w:left w:val="nil"/>
              <w:bottom w:val="single" w:color="auto" w:sz="4" w:space="0"/>
              <w:right w:val="single" w:color="000000" w:sz="8" w:space="0"/>
            </w:tcBorders>
            <w:shd w:val="clear" w:color="auto" w:fill="auto"/>
            <w:noWrap/>
            <w:vAlign w:val="bottom"/>
            <w:hideMark/>
          </w:tcPr>
          <w:p w:rsidRPr="00BE415D" w:rsidR="00BE415D" w:rsidP="00BE415D" w:rsidRDefault="00BE415D" w14:paraId="6A6853A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2010</w:t>
            </w:r>
          </w:p>
        </w:tc>
        <w:tc>
          <w:tcPr>
            <w:tcW w:w="1014" w:type="dxa"/>
            <w:gridSpan w:val="2"/>
            <w:tcBorders>
              <w:top w:val="single" w:color="auto" w:sz="8" w:space="0"/>
              <w:left w:val="nil"/>
              <w:bottom w:val="single" w:color="auto" w:sz="4" w:space="0"/>
              <w:right w:val="single" w:color="000000" w:sz="8" w:space="0"/>
            </w:tcBorders>
            <w:shd w:val="clear" w:color="auto" w:fill="auto"/>
            <w:noWrap/>
            <w:vAlign w:val="bottom"/>
            <w:hideMark/>
          </w:tcPr>
          <w:p w:rsidRPr="00BE415D" w:rsidR="00BE415D" w:rsidP="00BE415D" w:rsidRDefault="00BE415D" w14:paraId="3F5F35D8"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2011</w:t>
            </w:r>
          </w:p>
        </w:tc>
        <w:tc>
          <w:tcPr>
            <w:tcW w:w="1015" w:type="dxa"/>
            <w:gridSpan w:val="2"/>
            <w:tcBorders>
              <w:top w:val="single" w:color="auto" w:sz="8" w:space="0"/>
              <w:left w:val="nil"/>
              <w:bottom w:val="single" w:color="auto" w:sz="4" w:space="0"/>
              <w:right w:val="single" w:color="000000" w:sz="8" w:space="0"/>
            </w:tcBorders>
            <w:shd w:val="clear" w:color="auto" w:fill="auto"/>
            <w:noWrap/>
            <w:vAlign w:val="bottom"/>
            <w:hideMark/>
          </w:tcPr>
          <w:p w:rsidRPr="00BE415D" w:rsidR="00BE415D" w:rsidP="00BE415D" w:rsidRDefault="00BE415D" w14:paraId="42A16E12"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2012</w:t>
            </w:r>
          </w:p>
        </w:tc>
        <w:tc>
          <w:tcPr>
            <w:tcW w:w="1016" w:type="dxa"/>
            <w:gridSpan w:val="2"/>
            <w:tcBorders>
              <w:top w:val="single" w:color="auto" w:sz="8" w:space="0"/>
              <w:left w:val="nil"/>
              <w:bottom w:val="single" w:color="auto" w:sz="4" w:space="0"/>
              <w:right w:val="single" w:color="000000" w:sz="8" w:space="0"/>
            </w:tcBorders>
            <w:shd w:val="clear" w:color="auto" w:fill="auto"/>
            <w:noWrap/>
            <w:vAlign w:val="bottom"/>
            <w:hideMark/>
          </w:tcPr>
          <w:p w:rsidRPr="00BE415D" w:rsidR="00BE415D" w:rsidP="00BE415D" w:rsidRDefault="00BE415D" w14:paraId="460870C5"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2013</w:t>
            </w:r>
          </w:p>
        </w:tc>
        <w:tc>
          <w:tcPr>
            <w:tcW w:w="1016" w:type="dxa"/>
            <w:gridSpan w:val="2"/>
            <w:tcBorders>
              <w:top w:val="single" w:color="auto" w:sz="8" w:space="0"/>
              <w:left w:val="nil"/>
              <w:bottom w:val="single" w:color="auto" w:sz="4" w:space="0"/>
              <w:right w:val="single" w:color="000000" w:sz="8" w:space="0"/>
            </w:tcBorders>
            <w:shd w:val="clear" w:color="auto" w:fill="auto"/>
            <w:noWrap/>
            <w:vAlign w:val="bottom"/>
            <w:hideMark/>
          </w:tcPr>
          <w:p w:rsidRPr="00BE415D" w:rsidR="00BE415D" w:rsidP="00BE415D" w:rsidRDefault="00BE415D" w14:paraId="4CDB134D"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2014</w:t>
            </w:r>
          </w:p>
        </w:tc>
        <w:tc>
          <w:tcPr>
            <w:tcW w:w="1016" w:type="dxa"/>
            <w:gridSpan w:val="2"/>
            <w:tcBorders>
              <w:top w:val="single" w:color="auto" w:sz="8" w:space="0"/>
              <w:left w:val="nil"/>
              <w:bottom w:val="single" w:color="auto" w:sz="4" w:space="0"/>
              <w:right w:val="single" w:color="000000" w:sz="8" w:space="0"/>
            </w:tcBorders>
            <w:shd w:val="clear" w:color="auto" w:fill="auto"/>
            <w:noWrap/>
            <w:vAlign w:val="bottom"/>
            <w:hideMark/>
          </w:tcPr>
          <w:p w:rsidRPr="00BE415D" w:rsidR="00BE415D" w:rsidP="00BE415D" w:rsidRDefault="00BE415D" w14:paraId="0B8053BB"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2015</w:t>
            </w:r>
          </w:p>
        </w:tc>
        <w:tc>
          <w:tcPr>
            <w:tcW w:w="1016" w:type="dxa"/>
            <w:gridSpan w:val="2"/>
            <w:tcBorders>
              <w:top w:val="single" w:color="auto" w:sz="8" w:space="0"/>
              <w:left w:val="nil"/>
              <w:bottom w:val="single" w:color="auto" w:sz="4" w:space="0"/>
              <w:right w:val="single" w:color="000000" w:sz="8" w:space="0"/>
            </w:tcBorders>
            <w:shd w:val="clear" w:color="auto" w:fill="auto"/>
            <w:noWrap/>
            <w:vAlign w:val="bottom"/>
            <w:hideMark/>
          </w:tcPr>
          <w:p w:rsidRPr="00BE415D" w:rsidR="00BE415D" w:rsidP="00BE415D" w:rsidRDefault="00BE415D" w14:paraId="5518EFD8"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2016</w:t>
            </w:r>
          </w:p>
        </w:tc>
      </w:tr>
      <w:tr w:rsidRPr="00BE415D" w:rsidR="000305F2" w:rsidTr="00E02E4C" w14:paraId="460A4F12" w14:textId="77777777">
        <w:trPr>
          <w:trHeight w:val="284"/>
        </w:trPr>
        <w:tc>
          <w:tcPr>
            <w:tcW w:w="2241" w:type="dxa"/>
            <w:vMerge/>
            <w:tcBorders>
              <w:top w:val="single" w:color="auto" w:sz="8" w:space="0"/>
              <w:left w:val="single" w:color="auto" w:sz="8" w:space="0"/>
              <w:bottom w:val="single" w:color="000000" w:sz="8" w:space="0"/>
              <w:right w:val="single" w:color="000000" w:sz="8" w:space="0"/>
            </w:tcBorders>
            <w:vAlign w:val="center"/>
            <w:hideMark/>
          </w:tcPr>
          <w:p w:rsidRPr="00BE415D" w:rsidR="00BE415D" w:rsidP="00BE415D" w:rsidRDefault="00BE415D" w14:paraId="3C0A79CB" w14:textId="77777777">
            <w:pPr>
              <w:rPr>
                <w:rFonts w:ascii="Calibri" w:hAnsi="Calibri" w:eastAsia="Times New Roman" w:cs="Times New Roman"/>
                <w:b/>
                <w:bCs/>
                <w:color w:val="000000"/>
                <w:sz w:val="40"/>
                <w:szCs w:val="40"/>
                <w:lang w:val="en-AU"/>
              </w:rPr>
            </w:pPr>
          </w:p>
        </w:tc>
        <w:tc>
          <w:tcPr>
            <w:tcW w:w="507"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78EF2F6B"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R</w:t>
            </w:r>
          </w:p>
        </w:tc>
        <w:tc>
          <w:tcPr>
            <w:tcW w:w="507"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0AFB1170"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NR</w:t>
            </w:r>
          </w:p>
        </w:tc>
        <w:tc>
          <w:tcPr>
            <w:tcW w:w="507"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5CD8A90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R</w:t>
            </w:r>
          </w:p>
        </w:tc>
        <w:tc>
          <w:tcPr>
            <w:tcW w:w="507"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7ED8C22F"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NR</w:t>
            </w:r>
          </w:p>
        </w:tc>
        <w:tc>
          <w:tcPr>
            <w:tcW w:w="507"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5C9E8D1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R</w:t>
            </w:r>
          </w:p>
        </w:tc>
        <w:tc>
          <w:tcPr>
            <w:tcW w:w="508"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4996B917"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NR</w:t>
            </w:r>
          </w:p>
        </w:tc>
        <w:tc>
          <w:tcPr>
            <w:tcW w:w="508"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3647811F"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R</w:t>
            </w:r>
          </w:p>
        </w:tc>
        <w:tc>
          <w:tcPr>
            <w:tcW w:w="508"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70314CF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NR</w:t>
            </w:r>
          </w:p>
        </w:tc>
        <w:tc>
          <w:tcPr>
            <w:tcW w:w="508"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2E627D3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R</w:t>
            </w:r>
          </w:p>
        </w:tc>
        <w:tc>
          <w:tcPr>
            <w:tcW w:w="508"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136B816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NR</w:t>
            </w:r>
          </w:p>
        </w:tc>
        <w:tc>
          <w:tcPr>
            <w:tcW w:w="508"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1E4F0F27"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R</w:t>
            </w:r>
          </w:p>
        </w:tc>
        <w:tc>
          <w:tcPr>
            <w:tcW w:w="508"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5A05056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NR</w:t>
            </w:r>
          </w:p>
        </w:tc>
        <w:tc>
          <w:tcPr>
            <w:tcW w:w="508"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0DAC85FA"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R</w:t>
            </w:r>
          </w:p>
        </w:tc>
        <w:tc>
          <w:tcPr>
            <w:tcW w:w="508"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2E9C879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NR</w:t>
            </w:r>
          </w:p>
        </w:tc>
      </w:tr>
      <w:tr w:rsidRPr="00BE415D" w:rsidR="000305F2" w:rsidTr="00E02E4C" w14:paraId="0A35D293" w14:textId="77777777">
        <w:trPr>
          <w:trHeight w:val="284"/>
        </w:trPr>
        <w:tc>
          <w:tcPr>
            <w:tcW w:w="2241" w:type="dxa"/>
            <w:tcBorders>
              <w:top w:val="single" w:color="auto" w:sz="8" w:space="0"/>
              <w:left w:val="single" w:color="auto" w:sz="8" w:space="0"/>
              <w:bottom w:val="single" w:color="auto" w:sz="4" w:space="0"/>
              <w:right w:val="single" w:color="000000" w:sz="8" w:space="0"/>
            </w:tcBorders>
            <w:shd w:val="clear" w:color="auto" w:fill="auto"/>
            <w:noWrap/>
            <w:vAlign w:val="bottom"/>
            <w:hideMark/>
          </w:tcPr>
          <w:p w:rsidRPr="00BE415D" w:rsidR="00BE415D" w:rsidP="00BE415D" w:rsidRDefault="00BE415D" w14:paraId="14884D9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2010 Annual Report</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4C16655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w:t>
            </w:r>
          </w:p>
        </w:tc>
        <w:tc>
          <w:tcPr>
            <w:tcW w:w="507"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123A844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7</w:t>
            </w:r>
          </w:p>
        </w:tc>
        <w:tc>
          <w:tcPr>
            <w:tcW w:w="507"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69F0C705"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7"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550FEBFF"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7"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5EDD8607"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736BA610"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03CEA6C2"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29E0062B"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1259611D"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09EF3F9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3A669A0F"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0D30F902"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2ACD871D"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29C51EA8"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r>
      <w:tr w:rsidRPr="00BE415D" w:rsidR="000305F2" w:rsidTr="00E02E4C" w14:paraId="17115BA1" w14:textId="77777777">
        <w:trPr>
          <w:trHeight w:val="284"/>
        </w:trPr>
        <w:tc>
          <w:tcPr>
            <w:tcW w:w="2241" w:type="dxa"/>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BE415D" w:rsidR="00BE415D" w:rsidP="00BE415D" w:rsidRDefault="00BE415D" w14:paraId="4DDC0614"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2011 Annual Report</w:t>
            </w:r>
          </w:p>
        </w:tc>
        <w:tc>
          <w:tcPr>
            <w:tcW w:w="507"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0CE1FB58"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7"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54741CC9"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05811F3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6</w:t>
            </w:r>
          </w:p>
        </w:tc>
        <w:tc>
          <w:tcPr>
            <w:tcW w:w="507"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4598474B"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10</w:t>
            </w:r>
          </w:p>
        </w:tc>
        <w:tc>
          <w:tcPr>
            <w:tcW w:w="507"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7DF3E3C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107754B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4CF8D1B5"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0091EA9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78E08008"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579CBE6C"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334222DB"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0B3FFB70"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309D9CE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299A148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r>
      <w:tr w:rsidRPr="00BE415D" w:rsidR="000305F2" w:rsidTr="00E02E4C" w14:paraId="2AC165D9" w14:textId="77777777">
        <w:trPr>
          <w:trHeight w:val="284"/>
        </w:trPr>
        <w:tc>
          <w:tcPr>
            <w:tcW w:w="2241" w:type="dxa"/>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BE415D" w:rsidR="00BE415D" w:rsidP="00BE415D" w:rsidRDefault="00BE415D" w14:paraId="0FF4DCE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2012 Annual Report</w:t>
            </w:r>
          </w:p>
        </w:tc>
        <w:tc>
          <w:tcPr>
            <w:tcW w:w="507"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3FCB19E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7"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6DAC9AA9"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7"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11B6420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7"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180ED68A"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0C492C20"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4</w:t>
            </w:r>
          </w:p>
        </w:tc>
        <w:tc>
          <w:tcPr>
            <w:tcW w:w="508"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6E2E7FB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14</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08E79E1A"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38A90B8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482B5FA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43026DCD"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4F3B384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2DEAB75D"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20892DC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49ADC73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r>
      <w:tr w:rsidRPr="00BE415D" w:rsidR="000305F2" w:rsidTr="00E02E4C" w14:paraId="517E5E2F" w14:textId="77777777">
        <w:trPr>
          <w:trHeight w:val="284"/>
        </w:trPr>
        <w:tc>
          <w:tcPr>
            <w:tcW w:w="2241" w:type="dxa"/>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BE415D" w:rsidR="00BE415D" w:rsidP="00BE415D" w:rsidRDefault="00BE415D" w14:paraId="586D04E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2013 Annual Report</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69611DC7"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w:t>
            </w:r>
          </w:p>
        </w:tc>
        <w:tc>
          <w:tcPr>
            <w:tcW w:w="507"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4DC046AA"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7</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6463CCC2"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6</w:t>
            </w:r>
          </w:p>
        </w:tc>
        <w:tc>
          <w:tcPr>
            <w:tcW w:w="507"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63B328FC"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10</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6B3824B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4</w:t>
            </w:r>
          </w:p>
        </w:tc>
        <w:tc>
          <w:tcPr>
            <w:tcW w:w="508"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63E539CC"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14</w:t>
            </w:r>
          </w:p>
        </w:tc>
        <w:tc>
          <w:tcPr>
            <w:tcW w:w="508"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6BE745A9"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3</w:t>
            </w:r>
          </w:p>
        </w:tc>
        <w:tc>
          <w:tcPr>
            <w:tcW w:w="508"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22685C95"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19</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18B48118"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5FC93BB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460434E4"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2A6DFA2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58217BA9"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1791DAAA"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r>
      <w:tr w:rsidRPr="00BE415D" w:rsidR="000305F2" w:rsidTr="00E02E4C" w14:paraId="162CED44" w14:textId="77777777">
        <w:trPr>
          <w:trHeight w:val="284"/>
        </w:trPr>
        <w:tc>
          <w:tcPr>
            <w:tcW w:w="2241" w:type="dxa"/>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BE415D" w:rsidR="00BE415D" w:rsidP="00BE415D" w:rsidRDefault="00BE415D" w14:paraId="77F01447"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2014 Annual Report</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5046D48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w:t>
            </w:r>
          </w:p>
        </w:tc>
        <w:tc>
          <w:tcPr>
            <w:tcW w:w="507"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48539502"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7</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49884B6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6</w:t>
            </w:r>
          </w:p>
        </w:tc>
        <w:tc>
          <w:tcPr>
            <w:tcW w:w="507"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0CC0F0C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8</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60E0E325"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4</w:t>
            </w:r>
          </w:p>
        </w:tc>
        <w:tc>
          <w:tcPr>
            <w:tcW w:w="508"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2E76E3C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14</w:t>
            </w:r>
          </w:p>
        </w:tc>
        <w:tc>
          <w:tcPr>
            <w:tcW w:w="508"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220CFAE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3</w:t>
            </w:r>
          </w:p>
        </w:tc>
        <w:tc>
          <w:tcPr>
            <w:tcW w:w="508"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67020678"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16</w:t>
            </w:r>
          </w:p>
        </w:tc>
        <w:tc>
          <w:tcPr>
            <w:tcW w:w="508"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53BF1D48"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5</w:t>
            </w:r>
          </w:p>
        </w:tc>
        <w:tc>
          <w:tcPr>
            <w:tcW w:w="508"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65D33E60"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9</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740CE64D"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2DEC1AB9"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55CA03B2"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41FCB15C"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r>
      <w:tr w:rsidRPr="00BE415D" w:rsidR="000305F2" w:rsidTr="00E02E4C" w14:paraId="791B68A3" w14:textId="77777777">
        <w:trPr>
          <w:trHeight w:val="284"/>
        </w:trPr>
        <w:tc>
          <w:tcPr>
            <w:tcW w:w="2241" w:type="dxa"/>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BE415D" w:rsidR="00BE415D" w:rsidP="00BE415D" w:rsidRDefault="00BE415D" w14:paraId="5497112F"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2015 Annual Report</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427B1CDA"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w:t>
            </w:r>
          </w:p>
        </w:tc>
        <w:tc>
          <w:tcPr>
            <w:tcW w:w="507"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080EBCCD"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7</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386DC3A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6</w:t>
            </w:r>
          </w:p>
        </w:tc>
        <w:tc>
          <w:tcPr>
            <w:tcW w:w="507"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65F722C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8</w:t>
            </w:r>
          </w:p>
        </w:tc>
        <w:tc>
          <w:tcPr>
            <w:tcW w:w="507"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54FDE89C"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4</w:t>
            </w:r>
          </w:p>
        </w:tc>
        <w:tc>
          <w:tcPr>
            <w:tcW w:w="508"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2BD18AFB"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14</w:t>
            </w:r>
          </w:p>
        </w:tc>
        <w:tc>
          <w:tcPr>
            <w:tcW w:w="508"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20CD7EA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4</w:t>
            </w:r>
          </w:p>
        </w:tc>
        <w:tc>
          <w:tcPr>
            <w:tcW w:w="508"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06807A6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16</w:t>
            </w:r>
          </w:p>
        </w:tc>
        <w:tc>
          <w:tcPr>
            <w:tcW w:w="508"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09E3871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5</w:t>
            </w:r>
          </w:p>
        </w:tc>
        <w:tc>
          <w:tcPr>
            <w:tcW w:w="508"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78C1A157"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9</w:t>
            </w:r>
          </w:p>
        </w:tc>
        <w:tc>
          <w:tcPr>
            <w:tcW w:w="508" w:type="dxa"/>
            <w:tcBorders>
              <w:top w:val="nil"/>
              <w:left w:val="nil"/>
              <w:bottom w:val="single" w:color="auto" w:sz="4" w:space="0"/>
              <w:right w:val="single" w:color="auto" w:sz="4" w:space="0"/>
            </w:tcBorders>
            <w:shd w:val="clear" w:color="auto" w:fill="auto"/>
            <w:noWrap/>
            <w:vAlign w:val="bottom"/>
            <w:hideMark/>
          </w:tcPr>
          <w:p w:rsidRPr="00BE415D" w:rsidR="00BE415D" w:rsidP="00BE415D" w:rsidRDefault="00BE415D" w14:paraId="375784B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3</w:t>
            </w:r>
          </w:p>
        </w:tc>
        <w:tc>
          <w:tcPr>
            <w:tcW w:w="508" w:type="dxa"/>
            <w:tcBorders>
              <w:top w:val="nil"/>
              <w:left w:val="nil"/>
              <w:bottom w:val="single" w:color="auto" w:sz="4" w:space="0"/>
              <w:right w:val="single" w:color="auto" w:sz="8" w:space="0"/>
            </w:tcBorders>
            <w:shd w:val="clear" w:color="auto" w:fill="auto"/>
            <w:noWrap/>
            <w:vAlign w:val="bottom"/>
            <w:hideMark/>
          </w:tcPr>
          <w:p w:rsidRPr="00BE415D" w:rsidR="00BE415D" w:rsidP="00BE415D" w:rsidRDefault="00BE415D" w14:paraId="338B089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18</w:t>
            </w:r>
          </w:p>
        </w:tc>
        <w:tc>
          <w:tcPr>
            <w:tcW w:w="508" w:type="dxa"/>
            <w:tcBorders>
              <w:top w:val="nil"/>
              <w:left w:val="nil"/>
              <w:bottom w:val="single" w:color="auto" w:sz="4" w:space="0"/>
              <w:right w:val="single" w:color="auto" w:sz="4" w:space="0"/>
            </w:tcBorders>
            <w:shd w:val="clear" w:color="000000" w:fill="0D0D0D"/>
            <w:noWrap/>
            <w:vAlign w:val="bottom"/>
            <w:hideMark/>
          </w:tcPr>
          <w:p w:rsidRPr="00BE415D" w:rsidR="00BE415D" w:rsidP="00BE415D" w:rsidRDefault="00BE415D" w14:paraId="77D48355"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c>
          <w:tcPr>
            <w:tcW w:w="508" w:type="dxa"/>
            <w:tcBorders>
              <w:top w:val="nil"/>
              <w:left w:val="nil"/>
              <w:bottom w:val="single" w:color="auto" w:sz="4" w:space="0"/>
              <w:right w:val="single" w:color="auto" w:sz="8" w:space="0"/>
            </w:tcBorders>
            <w:shd w:val="clear" w:color="000000" w:fill="0D0D0D"/>
            <w:noWrap/>
            <w:vAlign w:val="bottom"/>
            <w:hideMark/>
          </w:tcPr>
          <w:p w:rsidRPr="00BE415D" w:rsidR="00BE415D" w:rsidP="00BE415D" w:rsidRDefault="00BE415D" w14:paraId="2EBF39DC"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 </w:t>
            </w:r>
          </w:p>
        </w:tc>
      </w:tr>
      <w:tr w:rsidRPr="00BE415D" w:rsidR="000305F2" w:rsidTr="00E02E4C" w14:paraId="40A850C6" w14:textId="77777777">
        <w:trPr>
          <w:trHeight w:val="284"/>
        </w:trPr>
        <w:tc>
          <w:tcPr>
            <w:tcW w:w="2241" w:type="dxa"/>
            <w:tcBorders>
              <w:top w:val="single" w:color="auto" w:sz="4" w:space="0"/>
              <w:left w:val="single" w:color="auto" w:sz="8" w:space="0"/>
              <w:bottom w:val="single" w:color="auto" w:sz="8" w:space="0"/>
              <w:right w:val="single" w:color="000000" w:sz="8" w:space="0"/>
            </w:tcBorders>
            <w:shd w:val="clear" w:color="auto" w:fill="auto"/>
            <w:noWrap/>
            <w:vAlign w:val="bottom"/>
            <w:hideMark/>
          </w:tcPr>
          <w:p w:rsidRPr="00BE415D" w:rsidR="00BE415D" w:rsidP="00BE415D" w:rsidRDefault="00BE415D" w14:paraId="2B8A2C81"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2016 Annual Report</w:t>
            </w:r>
          </w:p>
        </w:tc>
        <w:tc>
          <w:tcPr>
            <w:tcW w:w="507"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6EDA0AE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w:t>
            </w:r>
          </w:p>
        </w:tc>
        <w:tc>
          <w:tcPr>
            <w:tcW w:w="507"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3DE243E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7</w:t>
            </w:r>
          </w:p>
        </w:tc>
        <w:tc>
          <w:tcPr>
            <w:tcW w:w="507"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2C5396B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6</w:t>
            </w:r>
          </w:p>
        </w:tc>
        <w:tc>
          <w:tcPr>
            <w:tcW w:w="507"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1DC99AE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10</w:t>
            </w:r>
          </w:p>
        </w:tc>
        <w:tc>
          <w:tcPr>
            <w:tcW w:w="507"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5A47B6FA"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4</w:t>
            </w:r>
          </w:p>
        </w:tc>
        <w:tc>
          <w:tcPr>
            <w:tcW w:w="508"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0C437DB9"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14</w:t>
            </w:r>
          </w:p>
        </w:tc>
        <w:tc>
          <w:tcPr>
            <w:tcW w:w="508"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143AE113"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4</w:t>
            </w:r>
          </w:p>
        </w:tc>
        <w:tc>
          <w:tcPr>
            <w:tcW w:w="508"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31D95897"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14</w:t>
            </w:r>
          </w:p>
        </w:tc>
        <w:tc>
          <w:tcPr>
            <w:tcW w:w="508"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7A2865A7"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5</w:t>
            </w:r>
          </w:p>
        </w:tc>
        <w:tc>
          <w:tcPr>
            <w:tcW w:w="508"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7AD0BED6"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9</w:t>
            </w:r>
          </w:p>
        </w:tc>
        <w:tc>
          <w:tcPr>
            <w:tcW w:w="508"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35360BA8"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3</w:t>
            </w:r>
          </w:p>
        </w:tc>
        <w:tc>
          <w:tcPr>
            <w:tcW w:w="508"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756A05D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16</w:t>
            </w:r>
          </w:p>
        </w:tc>
        <w:tc>
          <w:tcPr>
            <w:tcW w:w="508" w:type="dxa"/>
            <w:tcBorders>
              <w:top w:val="nil"/>
              <w:left w:val="nil"/>
              <w:bottom w:val="single" w:color="auto" w:sz="8" w:space="0"/>
              <w:right w:val="single" w:color="auto" w:sz="4" w:space="0"/>
            </w:tcBorders>
            <w:shd w:val="clear" w:color="auto" w:fill="auto"/>
            <w:noWrap/>
            <w:vAlign w:val="bottom"/>
            <w:hideMark/>
          </w:tcPr>
          <w:p w:rsidRPr="00BE415D" w:rsidR="00BE415D" w:rsidP="00BE415D" w:rsidRDefault="00BE415D" w14:paraId="7F700DA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1</w:t>
            </w:r>
          </w:p>
        </w:tc>
        <w:tc>
          <w:tcPr>
            <w:tcW w:w="508" w:type="dxa"/>
            <w:tcBorders>
              <w:top w:val="nil"/>
              <w:left w:val="nil"/>
              <w:bottom w:val="single" w:color="auto" w:sz="8" w:space="0"/>
              <w:right w:val="single" w:color="auto" w:sz="8" w:space="0"/>
            </w:tcBorders>
            <w:shd w:val="clear" w:color="auto" w:fill="auto"/>
            <w:noWrap/>
            <w:vAlign w:val="bottom"/>
            <w:hideMark/>
          </w:tcPr>
          <w:p w:rsidRPr="00BE415D" w:rsidR="00BE415D" w:rsidP="00BE415D" w:rsidRDefault="00BE415D" w14:paraId="08C9CC1E" w14:textId="77777777">
            <w:pPr>
              <w:jc w:val="center"/>
              <w:rPr>
                <w:rFonts w:ascii="Calibri" w:hAnsi="Calibri" w:eastAsia="Times New Roman" w:cs="Times New Roman"/>
                <w:color w:val="000000"/>
                <w:lang w:val="en-AU"/>
              </w:rPr>
            </w:pPr>
            <w:r w:rsidRPr="00BE415D">
              <w:rPr>
                <w:rFonts w:ascii="Calibri" w:hAnsi="Calibri" w:eastAsia="Times New Roman" w:cs="Times New Roman"/>
                <w:color w:val="000000"/>
                <w:lang w:val="en-AU"/>
              </w:rPr>
              <w:t>25</w:t>
            </w:r>
          </w:p>
        </w:tc>
      </w:tr>
    </w:tbl>
    <w:p w:rsidR="003C2A51" w:rsidP="00E80B40" w:rsidRDefault="00E02E4C" w14:paraId="47C563B1" w14:textId="16CDB1D9">
      <w:pPr>
        <w:spacing w:before="20" w:line="276" w:lineRule="auto"/>
      </w:pPr>
      <w:r>
        <w:t>For accuracy</w:t>
      </w:r>
      <w:r w:rsidR="00CF1789">
        <w:t xml:space="preserve"> and consistency</w:t>
      </w:r>
      <w:r>
        <w:t xml:space="preserve">, the tally included in the data spreadsheet by the author is the first listing for each year – </w:t>
      </w:r>
      <w:proofErr w:type="gramStart"/>
      <w:r>
        <w:t>i.e.</w:t>
      </w:r>
      <w:proofErr w:type="gramEnd"/>
      <w:r>
        <w:t xml:space="preserve"> for 2013, the tally given in the 2013 Annual Report; for 2014, the tally given in the 2014 Annual Report, etc. </w:t>
      </w:r>
      <w:r w:rsidR="00CF1789">
        <w:t>This ensures that all Requests, including those that were suspended then closed, are properly included in the tally.</w:t>
      </w:r>
    </w:p>
    <w:p w:rsidR="00E80B40" w:rsidP="00E80B40" w:rsidRDefault="00E80B40" w14:paraId="42F0EB1F" w14:textId="77777777">
      <w:pPr>
        <w:spacing w:before="20" w:line="276" w:lineRule="auto"/>
      </w:pPr>
    </w:p>
    <w:p w:rsidRPr="003C2A51" w:rsidR="003C2A51" w:rsidP="003C2A51" w:rsidRDefault="003C2A51" w14:paraId="4013E460" w14:textId="77777777">
      <w:pPr>
        <w:spacing w:line="276" w:lineRule="auto"/>
        <w:rPr>
          <w:b/>
          <w:i/>
        </w:rPr>
      </w:pPr>
      <w:r>
        <w:rPr>
          <w:b/>
          <w:i/>
        </w:rPr>
        <w:t>5.2</w:t>
      </w:r>
      <w:r w:rsidRPr="00C64617">
        <w:rPr>
          <w:b/>
          <w:i/>
        </w:rPr>
        <w:t xml:space="preserve">. </w:t>
      </w:r>
      <w:r>
        <w:rPr>
          <w:b/>
          <w:i/>
        </w:rPr>
        <w:t>Processing Procedure</w:t>
      </w:r>
    </w:p>
    <w:p w:rsidR="003C2A51" w:rsidP="003C2A51" w:rsidRDefault="003C2A51" w14:paraId="562CFC08" w14:textId="7E0DA067">
      <w:pPr>
        <w:spacing w:line="276" w:lineRule="auto"/>
      </w:pPr>
      <w:r>
        <w:rPr>
          <w:lang w:val="en-AU"/>
        </w:rPr>
        <w:t>Under the IRM (EBRD)</w:t>
      </w:r>
      <w:r w:rsidR="007C7576">
        <w:rPr>
          <w:lang w:val="en-AU"/>
        </w:rPr>
        <w:t>,</w:t>
      </w:r>
      <w:r>
        <w:rPr>
          <w:lang w:val="en-AU"/>
        </w:rPr>
        <w:t xml:space="preserve"> the PCM</w:t>
      </w:r>
      <w:r w:rsidR="007C7576">
        <w:rPr>
          <w:lang w:val="en-AU"/>
        </w:rPr>
        <w:t xml:space="preserve"> and IPAM</w:t>
      </w:r>
      <w:r w:rsidR="00E80B40">
        <w:rPr>
          <w:lang w:val="en-AU"/>
        </w:rPr>
        <w:t>,</w:t>
      </w:r>
      <w:r>
        <w:rPr>
          <w:lang w:val="en-AU"/>
        </w:rPr>
        <w:t xml:space="preserve"> Requestors could indicate their preference for either problem solving or for a compliance investigation and these could run concurrently by separate </w:t>
      </w:r>
      <w:r w:rsidR="00A55742">
        <w:rPr>
          <w:lang w:val="en-AU"/>
        </w:rPr>
        <w:t>experts</w:t>
      </w:r>
      <w:r>
        <w:rPr>
          <w:lang w:val="en-AU"/>
        </w:rPr>
        <w:t xml:space="preserve"> working for the AM.</w:t>
      </w:r>
      <w:r w:rsidRPr="005C69D0">
        <w:rPr>
          <w:lang w:val="en-AU"/>
        </w:rPr>
        <w:t xml:space="preserve"> </w:t>
      </w:r>
    </w:p>
    <w:p w:rsidRPr="002D1B46" w:rsidR="003C2A51" w:rsidP="00EF7CDC" w:rsidRDefault="003C2A51" w14:paraId="7A8E4C59" w14:textId="77777777">
      <w:pPr>
        <w:spacing w:line="276" w:lineRule="auto"/>
        <w:sectPr w:rsidRPr="002D1B46" w:rsidR="003C2A51" w:rsidSect="006204D0">
          <w:pgSz w:w="11900" w:h="16840" w:orient="portrait"/>
          <w:pgMar w:top="1440" w:right="1418" w:bottom="1440" w:left="1418" w:header="708" w:footer="708" w:gutter="0"/>
          <w:cols w:space="708"/>
          <w:docGrid w:linePitch="360"/>
        </w:sectPr>
      </w:pPr>
    </w:p>
    <w:p w:rsidRPr="004C0219" w:rsidR="00A90933" w:rsidP="00A90933" w:rsidRDefault="004C0219" w14:paraId="33DED0C3" w14:textId="1C47B499">
      <w:pPr>
        <w:spacing w:line="276" w:lineRule="auto"/>
        <w:jc w:val="center"/>
        <w:rPr>
          <w:sz w:val="38"/>
          <w:szCs w:val="38"/>
          <w:u w:val="single"/>
        </w:rPr>
      </w:pPr>
      <w:r w:rsidRPr="004C0219">
        <w:rPr>
          <w:sz w:val="38"/>
          <w:szCs w:val="38"/>
          <w:u w:val="single"/>
        </w:rPr>
        <w:lastRenderedPageBreak/>
        <w:t xml:space="preserve">6. </w:t>
      </w:r>
      <w:r w:rsidRPr="004C0219" w:rsidR="00C063B1">
        <w:rPr>
          <w:sz w:val="38"/>
          <w:szCs w:val="38"/>
          <w:u w:val="single"/>
        </w:rPr>
        <w:t>Inter-American Development Bank</w:t>
      </w:r>
      <w:r w:rsidRPr="004C0219" w:rsidR="00A90933">
        <w:rPr>
          <w:sz w:val="38"/>
          <w:szCs w:val="38"/>
        </w:rPr>
        <w:t xml:space="preserve"> </w:t>
      </w:r>
    </w:p>
    <w:p w:rsidR="006C45FF" w:rsidP="00CA7279" w:rsidRDefault="006C45FF" w14:paraId="50AA9520" w14:textId="7288FFB0">
      <w:pPr>
        <w:pStyle w:val="ListParagraph"/>
        <w:numPr>
          <w:ilvl w:val="0"/>
          <w:numId w:val="4"/>
        </w:numPr>
        <w:spacing w:line="276" w:lineRule="auto"/>
        <w:contextualSpacing w:val="0"/>
      </w:pPr>
      <w:r>
        <w:t>Information has been collated from the case documents and annual reports on the publicly acc</w:t>
      </w:r>
      <w:r w:rsidR="00CA7279">
        <w:t>e</w:t>
      </w:r>
      <w:r w:rsidR="00A55742">
        <w:t>ssible MICI website of the IDB.</w:t>
      </w:r>
    </w:p>
    <w:p w:rsidR="006C45FF" w:rsidP="006C45FF" w:rsidRDefault="006C45FF" w14:paraId="3B27D2E7" w14:textId="77777777">
      <w:pPr>
        <w:pStyle w:val="ListParagraph"/>
        <w:numPr>
          <w:ilvl w:val="0"/>
          <w:numId w:val="4"/>
        </w:numPr>
        <w:spacing w:line="276" w:lineRule="auto"/>
      </w:pPr>
      <w:r>
        <w:t>Some data has also been collated from historical case documents and annual reports that were previously publicly available but are no longer online.</w:t>
      </w:r>
    </w:p>
    <w:p w:rsidRPr="006C45FF" w:rsidR="00D82C40" w:rsidP="00D82C40" w:rsidRDefault="00D82C40" w14:paraId="21EDAE14" w14:textId="3606908F">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 The exception is case numbers for the IIM (Historic), which had no case numbers so have been numbered sequentially by the author.</w:t>
      </w:r>
    </w:p>
    <w:p w:rsidR="00891718" w:rsidP="00891718" w:rsidRDefault="004255B4" w14:paraId="5AB22C35" w14:textId="0DADC86D">
      <w:pPr>
        <w:pStyle w:val="ListParagraph"/>
        <w:numPr>
          <w:ilvl w:val="0"/>
          <w:numId w:val="4"/>
        </w:numPr>
        <w:spacing w:line="276" w:lineRule="auto"/>
      </w:pPr>
      <w:r>
        <w:t>In 2014, the Operational Guidelines changed so f</w:t>
      </w:r>
      <w:r w:rsidR="00891718">
        <w:t xml:space="preserve">rom case </w:t>
      </w:r>
      <w:r w:rsidRPr="00A90933" w:rsidR="00891718">
        <w:t>MICI-CO-2015-0091 onwards, the eligibility fi</w:t>
      </w:r>
      <w:r w:rsidR="00CA7279">
        <w:t>ndings are not specific to the consultation p</w:t>
      </w:r>
      <w:r w:rsidRPr="00A90933" w:rsidR="00891718">
        <w:t xml:space="preserve">hase or the </w:t>
      </w:r>
      <w:r w:rsidR="00CA7279">
        <w:t>i</w:t>
      </w:r>
      <w:r w:rsidR="00891718">
        <w:t>nvestigation</w:t>
      </w:r>
      <w:r w:rsidRPr="00A90933" w:rsidR="00891718">
        <w:t xml:space="preserve"> phase; it is just found eligible or ineligible.</w:t>
      </w:r>
      <w:r w:rsidR="007C147F">
        <w:t xml:space="preserve"> Where cases are found ineligible from this point on, the </w:t>
      </w:r>
      <w:r w:rsidR="00CA7279">
        <w:t>reason is recorded in both the consultation p</w:t>
      </w:r>
      <w:r w:rsidR="007C147F">
        <w:t>ha</w:t>
      </w:r>
      <w:r w:rsidR="00CA7279">
        <w:t>se (‘Eligible’ column) and the investigation p</w:t>
      </w:r>
      <w:r w:rsidR="007C147F">
        <w:t>hase (‘Under Appraisal’ column).</w:t>
      </w:r>
    </w:p>
    <w:p w:rsidRPr="007E2CB0" w:rsidR="007E2CB0" w:rsidP="007E2CB0" w:rsidRDefault="007C147F" w14:paraId="3082D3EC" w14:textId="77777777">
      <w:pPr>
        <w:pStyle w:val="ListParagraph"/>
        <w:numPr>
          <w:ilvl w:val="0"/>
          <w:numId w:val="4"/>
        </w:numPr>
        <w:spacing w:line="276" w:lineRule="auto"/>
      </w:pPr>
      <w:r>
        <w:rPr>
          <w:lang w:val="en-AU"/>
        </w:rPr>
        <w:t xml:space="preserve">Some documents were only available in Spanish or only available in </w:t>
      </w:r>
      <w:r w:rsidR="000305F2">
        <w:rPr>
          <w:lang w:val="en-AU"/>
        </w:rPr>
        <w:t>Portuguese</w:t>
      </w:r>
      <w:r>
        <w:rPr>
          <w:lang w:val="en-AU"/>
        </w:rPr>
        <w:t>.</w:t>
      </w:r>
    </w:p>
    <w:p w:rsidRPr="007E2CB0" w:rsidR="00864FF4" w:rsidP="61B44AF7" w:rsidRDefault="007E2CB0" w14:paraId="21394FC3" w14:textId="2559F41C">
      <w:pPr>
        <w:pStyle w:val="ListParagraph"/>
        <w:numPr>
          <w:ilvl w:val="0"/>
          <w:numId w:val="4"/>
        </w:numPr>
        <w:spacing w:line="276" w:lineRule="auto"/>
        <w:rPr>
          <w:highlight w:val="yellow"/>
          <w:lang w:val="en-AU"/>
        </w:rPr>
      </w:pPr>
      <w:r w:rsidRPr="61B44AF7" w:rsidR="007E2CB0">
        <w:rPr>
          <w:lang w:val="en-AU"/>
        </w:rPr>
        <w:t>The IDB’s Inter-American Investment Corporation (IIC) is now called.</w:t>
      </w:r>
      <w:r w:rsidRPr="61B44AF7" w:rsidR="00864FF4">
        <w:rPr>
          <w:lang w:val="en-AU"/>
        </w:rPr>
        <w:t xml:space="preserve"> </w:t>
      </w:r>
      <w:r w:rsidRPr="61B44AF7" w:rsidR="007E2CB0">
        <w:rPr>
          <w:lang w:val="en-AU"/>
        </w:rPr>
        <w:t>From 2013 IDB p</w:t>
      </w:r>
      <w:r w:rsidRPr="61B44AF7" w:rsidR="00864FF4">
        <w:rPr>
          <w:lang w:val="en-AU"/>
        </w:rPr>
        <w:t xml:space="preserve">rojects </w:t>
      </w:r>
      <w:r w:rsidRPr="61B44AF7" w:rsidR="007E2CB0">
        <w:rPr>
          <w:lang w:val="en-AU"/>
        </w:rPr>
        <w:t xml:space="preserve">financed through this facility may </w:t>
      </w:r>
      <w:r w:rsidRPr="61B44AF7" w:rsidR="002C0769">
        <w:rPr>
          <w:lang w:val="en-AU"/>
        </w:rPr>
        <w:t>have compliance assessed against IFC Performance Standards alongside other relevant IDB OPs</w:t>
      </w:r>
      <w:r w:rsidRPr="61B44AF7" w:rsidR="00871E75">
        <w:rPr>
          <w:lang w:val="en-AU"/>
        </w:rPr>
        <w:t xml:space="preserve"> (where there are</w:t>
      </w:r>
      <w:r w:rsidRPr="61B44AF7" w:rsidR="005A2250">
        <w:rPr>
          <w:lang w:val="en-AU"/>
        </w:rPr>
        <w:t xml:space="preserve"> divergences between the two, the IDB policy definition will prevail)</w:t>
      </w:r>
      <w:r w:rsidRPr="61B44AF7" w:rsidR="002C0769">
        <w:rPr>
          <w:lang w:val="en-AU"/>
        </w:rPr>
        <w:t xml:space="preserve">. </w:t>
      </w:r>
      <w:r w:rsidRPr="61B44AF7" w:rsidR="007E2CB0">
        <w:rPr>
          <w:lang w:val="en-AU"/>
        </w:rPr>
        <w:t xml:space="preserve">Ordinary </w:t>
      </w:r>
      <w:r w:rsidRPr="61B44AF7" w:rsidR="002C0769">
        <w:rPr>
          <w:lang w:val="en-AU"/>
        </w:rPr>
        <w:t>IDB funded projects are assessed only against the Operational Policies identified above.</w:t>
      </w:r>
    </w:p>
    <w:p w:rsidR="007C147F" w:rsidP="007C147F" w:rsidRDefault="007C147F" w14:paraId="4114BEE6" w14:textId="77777777">
      <w:pPr>
        <w:spacing w:line="276" w:lineRule="auto"/>
      </w:pPr>
    </w:p>
    <w:p w:rsidRPr="007C147F" w:rsidR="007C147F" w:rsidP="007C147F" w:rsidRDefault="007C147F" w14:paraId="65260A1B" w14:textId="3D838212">
      <w:pPr>
        <w:spacing w:line="276" w:lineRule="auto"/>
        <w:rPr>
          <w:b/>
          <w:i/>
        </w:rPr>
      </w:pPr>
      <w:r>
        <w:rPr>
          <w:b/>
          <w:i/>
        </w:rPr>
        <w:t>6</w:t>
      </w:r>
      <w:r w:rsidRPr="00C64617">
        <w:rPr>
          <w:b/>
          <w:i/>
        </w:rPr>
        <w:t xml:space="preserve">.1. </w:t>
      </w:r>
      <w:r>
        <w:rPr>
          <w:b/>
          <w:i/>
        </w:rPr>
        <w:t>Data Discrepancies</w:t>
      </w:r>
    </w:p>
    <w:p w:rsidR="00945B65" w:rsidP="007C147F" w:rsidRDefault="00945B65" w14:paraId="0F7AA4FA" w14:textId="4452DCAA">
      <w:pPr>
        <w:spacing w:line="276" w:lineRule="auto"/>
        <w:rPr>
          <w:lang w:val="en-AU"/>
        </w:rPr>
      </w:pPr>
      <w:r>
        <w:rPr>
          <w:lang w:val="en-AU"/>
        </w:rPr>
        <w:t xml:space="preserve">The </w:t>
      </w:r>
      <w:r w:rsidRPr="00945B65">
        <w:t>Development of the Industry of Products of the Vegetable Sponge</w:t>
      </w:r>
      <w:r>
        <w:t xml:space="preserve"> is listed twice; once under the IIM (IIM 13) and again under MICI (</w:t>
      </w:r>
      <w:r w:rsidRPr="00945B65">
        <w:t>MICI-PR-2010-001</w:t>
      </w:r>
      <w:r>
        <w:t xml:space="preserve">). When MICI was created, this was the only open case under the IIM and so it was transferred. This means it is counted twice in the overall case count, even though it is the same case. </w:t>
      </w:r>
    </w:p>
    <w:p w:rsidR="00945B65" w:rsidP="007C147F" w:rsidRDefault="00945B65" w14:paraId="6F17CACE" w14:textId="77777777">
      <w:pPr>
        <w:spacing w:line="276" w:lineRule="auto"/>
        <w:rPr>
          <w:lang w:val="en-AU"/>
        </w:rPr>
      </w:pPr>
    </w:p>
    <w:p w:rsidRPr="00F65FF0" w:rsidR="00891718" w:rsidP="007C147F" w:rsidRDefault="00CA7279" w14:paraId="1E9918F1" w14:textId="08DFF2D2">
      <w:pPr>
        <w:spacing w:line="276" w:lineRule="auto"/>
      </w:pPr>
      <w:r>
        <w:rPr>
          <w:lang w:val="en-AU"/>
        </w:rPr>
        <w:t>The consultation p</w:t>
      </w:r>
      <w:r w:rsidRPr="007C147F" w:rsidR="00891718">
        <w:rPr>
          <w:lang w:val="en-AU"/>
        </w:rPr>
        <w:t xml:space="preserve">hase (green) timeline from the website is inconsistent with the reality </w:t>
      </w:r>
      <w:r>
        <w:rPr>
          <w:lang w:val="en-AU"/>
        </w:rPr>
        <w:t>for case MICI-CR-2010-010. The consultation phase report states that 'the consultation p</w:t>
      </w:r>
      <w:r w:rsidRPr="007C147F" w:rsidR="00891718">
        <w:rPr>
          <w:lang w:val="en-AU"/>
        </w:rPr>
        <w:t xml:space="preserve">hase ended without proceeding to dialogue' (p. 9) but the timeline shows it as having gone to monitoring. The author has </w:t>
      </w:r>
      <w:r>
        <w:rPr>
          <w:lang w:val="en-AU"/>
        </w:rPr>
        <w:t>changed it to reflect that the consultation p</w:t>
      </w:r>
      <w:r w:rsidRPr="007C147F" w:rsidR="00891718">
        <w:rPr>
          <w:lang w:val="en-AU"/>
        </w:rPr>
        <w:t>hase in</w:t>
      </w:r>
      <w:r w:rsidRPr="007C147F" w:rsidR="00C03ABE">
        <w:rPr>
          <w:lang w:val="en-AU"/>
        </w:rPr>
        <w:t xml:space="preserve"> fact closed in the Assessment P</w:t>
      </w:r>
      <w:r w:rsidRPr="007C147F" w:rsidR="00891718">
        <w:rPr>
          <w:lang w:val="en-AU"/>
        </w:rPr>
        <w:t>eriod</w:t>
      </w:r>
      <w:r w:rsidRPr="007C147F" w:rsidR="00780BCE">
        <w:rPr>
          <w:lang w:val="en-AU"/>
        </w:rPr>
        <w:t>.</w:t>
      </w:r>
    </w:p>
    <w:p w:rsidRPr="006C45FF" w:rsidR="006C45FF" w:rsidP="00C91877" w:rsidRDefault="006C45FF" w14:paraId="06D91295" w14:textId="77777777">
      <w:pPr>
        <w:spacing w:line="276" w:lineRule="auto"/>
      </w:pPr>
    </w:p>
    <w:p w:rsidRPr="002B06AC" w:rsidR="002B06AC" w:rsidP="005C69D0" w:rsidRDefault="002B06AC" w14:paraId="4C59C0B6" w14:textId="79BBE156">
      <w:pPr>
        <w:spacing w:line="276" w:lineRule="auto"/>
        <w:rPr>
          <w:b/>
          <w:i/>
        </w:rPr>
      </w:pPr>
      <w:r>
        <w:rPr>
          <w:b/>
          <w:i/>
        </w:rPr>
        <w:t>6.2</w:t>
      </w:r>
      <w:r w:rsidRPr="00C64617">
        <w:rPr>
          <w:b/>
          <w:i/>
        </w:rPr>
        <w:t xml:space="preserve">. </w:t>
      </w:r>
      <w:r>
        <w:rPr>
          <w:b/>
          <w:i/>
        </w:rPr>
        <w:t>Processing Procedure</w:t>
      </w:r>
    </w:p>
    <w:p w:rsidRPr="005C69D0" w:rsidR="007C147F" w:rsidP="005C69D0" w:rsidRDefault="003C2A51" w14:paraId="62200A70" w14:textId="37C08F83">
      <w:pPr>
        <w:spacing w:line="276" w:lineRule="auto"/>
      </w:pPr>
      <w:r>
        <w:rPr>
          <w:lang w:val="en-AU"/>
        </w:rPr>
        <w:t>From 2010 until 2014 R</w:t>
      </w:r>
      <w:r w:rsidR="00497837">
        <w:rPr>
          <w:lang w:val="en-AU"/>
        </w:rPr>
        <w:t>equesto</w:t>
      </w:r>
      <w:r w:rsidRPr="005C69D0" w:rsidR="00A90933">
        <w:rPr>
          <w:lang w:val="en-AU"/>
        </w:rPr>
        <w:t xml:space="preserve">rs </w:t>
      </w:r>
      <w:r w:rsidRPr="005C69D0" w:rsidR="005C69D0">
        <w:rPr>
          <w:lang w:val="en-AU"/>
        </w:rPr>
        <w:t xml:space="preserve">had to first go through the consultation phase before they could request a compliance investigation. From 2015 Requestors </w:t>
      </w:r>
      <w:r w:rsidRPr="005C69D0" w:rsidR="00A90933">
        <w:rPr>
          <w:lang w:val="en-AU"/>
        </w:rPr>
        <w:t xml:space="preserve">can choose </w:t>
      </w:r>
      <w:r w:rsidRPr="005C69D0" w:rsidR="005C69D0">
        <w:rPr>
          <w:lang w:val="en-AU"/>
        </w:rPr>
        <w:t xml:space="preserve">either. </w:t>
      </w:r>
      <w:r w:rsidRPr="005C69D0" w:rsidR="00A90933">
        <w:rPr>
          <w:lang w:val="en-AU"/>
        </w:rPr>
        <w:t xml:space="preserve">If </w:t>
      </w:r>
      <w:r w:rsidR="002B06AC">
        <w:rPr>
          <w:lang w:val="en-AU"/>
        </w:rPr>
        <w:t xml:space="preserve">a </w:t>
      </w:r>
      <w:r w:rsidRPr="005C69D0" w:rsidR="00A90933">
        <w:rPr>
          <w:lang w:val="en-AU"/>
        </w:rPr>
        <w:t>case is rej</w:t>
      </w:r>
      <w:r>
        <w:rPr>
          <w:lang w:val="en-AU"/>
        </w:rPr>
        <w:t>ected for consultation, Requesto</w:t>
      </w:r>
      <w:r w:rsidRPr="005C69D0" w:rsidR="00A90933">
        <w:rPr>
          <w:lang w:val="en-AU"/>
        </w:rPr>
        <w:t xml:space="preserve">rs </w:t>
      </w:r>
      <w:r w:rsidRPr="005C69D0" w:rsidR="005C69D0">
        <w:rPr>
          <w:lang w:val="en-AU"/>
        </w:rPr>
        <w:t xml:space="preserve">may still </w:t>
      </w:r>
      <w:r w:rsidRPr="005C69D0" w:rsidR="00A90933">
        <w:rPr>
          <w:lang w:val="en-AU"/>
        </w:rPr>
        <w:t>choose whether they want it assessed for compliance.</w:t>
      </w:r>
      <w:r w:rsidRPr="005C69D0" w:rsidR="005C69D0">
        <w:rPr>
          <w:lang w:val="en-AU"/>
        </w:rPr>
        <w:t xml:space="preserve"> </w:t>
      </w:r>
    </w:p>
    <w:p w:rsidRPr="00A90933" w:rsidR="00A90933" w:rsidP="00A90933" w:rsidRDefault="00A90933" w14:paraId="6E8AAE4C" w14:textId="77777777">
      <w:pPr>
        <w:spacing w:line="276" w:lineRule="auto"/>
      </w:pPr>
    </w:p>
    <w:p w:rsidRPr="00A90933" w:rsidR="00A90933" w:rsidP="00A90933" w:rsidRDefault="00A90933" w14:paraId="3D860E9B" w14:textId="77777777">
      <w:pPr>
        <w:spacing w:line="276" w:lineRule="auto"/>
        <w:rPr>
          <w:u w:val="single"/>
        </w:rPr>
      </w:pPr>
    </w:p>
    <w:p w:rsidR="00C063B1" w:rsidP="00C063B1" w:rsidRDefault="00C063B1" w14:paraId="24C911F2" w14:textId="221BBEE9">
      <w:pPr>
        <w:spacing w:line="276" w:lineRule="auto"/>
        <w:rPr>
          <w:sz w:val="40"/>
          <w:szCs w:val="40"/>
          <w:u w:val="single"/>
        </w:rPr>
        <w:sectPr w:rsidR="00C063B1" w:rsidSect="006204D0">
          <w:pgSz w:w="11900" w:h="16840" w:orient="portrait"/>
          <w:pgMar w:top="1440" w:right="1418" w:bottom="1440" w:left="1418" w:header="708" w:footer="708" w:gutter="0"/>
          <w:cols w:space="708"/>
          <w:docGrid w:linePitch="360"/>
        </w:sectPr>
      </w:pPr>
    </w:p>
    <w:p w:rsidRPr="004C0219" w:rsidR="00C063B1" w:rsidP="00D30F3F" w:rsidRDefault="004C0219" w14:paraId="50C2377F" w14:textId="05E8183E">
      <w:pPr>
        <w:spacing w:line="276" w:lineRule="auto"/>
        <w:jc w:val="center"/>
        <w:rPr>
          <w:sz w:val="38"/>
          <w:szCs w:val="38"/>
          <w:u w:val="single"/>
        </w:rPr>
      </w:pPr>
      <w:r w:rsidRPr="004C0219">
        <w:rPr>
          <w:sz w:val="38"/>
          <w:szCs w:val="38"/>
          <w:u w:val="single"/>
        </w:rPr>
        <w:lastRenderedPageBreak/>
        <w:t xml:space="preserve">7. </w:t>
      </w:r>
      <w:r w:rsidRPr="004C0219" w:rsidR="00C063B1">
        <w:rPr>
          <w:sz w:val="38"/>
          <w:szCs w:val="38"/>
          <w:u w:val="single"/>
        </w:rPr>
        <w:t>International Finance Corporation</w:t>
      </w:r>
    </w:p>
    <w:p w:rsidR="00894201" w:rsidP="00CA7279" w:rsidRDefault="00894201" w14:paraId="7039C037" w14:textId="4EC95772">
      <w:pPr>
        <w:pStyle w:val="ListParagraph"/>
        <w:numPr>
          <w:ilvl w:val="0"/>
          <w:numId w:val="4"/>
        </w:numPr>
        <w:spacing w:line="276" w:lineRule="auto"/>
        <w:contextualSpacing w:val="0"/>
      </w:pPr>
      <w:r>
        <w:t>Information has been collated from the case documents and annual reports on the publicly ac</w:t>
      </w:r>
      <w:r w:rsidR="00CA7279">
        <w:t>cessible CAO website of the IFC</w:t>
      </w:r>
      <w:r w:rsidR="00A55E5C">
        <w:t xml:space="preserve"> and MIGA (collectively comprising the World Bank Group)</w:t>
      </w:r>
      <w:r w:rsidR="00A55742">
        <w:t>.</w:t>
      </w:r>
    </w:p>
    <w:p w:rsidRPr="006C45FF" w:rsidR="00894201" w:rsidP="00DC5C8C" w:rsidRDefault="00894201" w14:paraId="1517D0DD" w14:textId="7C86B5F5">
      <w:pPr>
        <w:pStyle w:val="ListParagraph"/>
        <w:numPr>
          <w:ilvl w:val="0"/>
          <w:numId w:val="4"/>
        </w:numPr>
        <w:spacing w:line="276" w:lineRule="auto"/>
        <w:rPr>
          <w:lang w:val="en-US"/>
        </w:rPr>
      </w:pPr>
      <w:r w:rsidRPr="00FF2F5E">
        <w:rPr>
          <w:lang w:val="en-US"/>
        </w:rPr>
        <w:t>All project names, countries, and years are taken directly as they appear from the websi</w:t>
      </w:r>
      <w:r w:rsidR="00FF2F5E">
        <w:rPr>
          <w:lang w:val="en-US"/>
        </w:rPr>
        <w:t>te or other relevant documents.</w:t>
      </w:r>
    </w:p>
    <w:p w:rsidR="00894201" w:rsidP="00DC5C8C" w:rsidRDefault="00FF2F5E" w14:paraId="12A4642D" w14:textId="3EA1538D">
      <w:pPr>
        <w:pStyle w:val="ListParagraph"/>
        <w:numPr>
          <w:ilvl w:val="0"/>
          <w:numId w:val="4"/>
        </w:numPr>
        <w:spacing w:line="276" w:lineRule="auto"/>
      </w:pPr>
      <w:r>
        <w:t xml:space="preserve">CAO cases do not have a case number on the website. As such, the author has assigned them with a case number corresponding to the date listed under ‘Date Filed’ on the website in the format </w:t>
      </w:r>
      <w:proofErr w:type="spellStart"/>
      <w:r>
        <w:t>yyyy</w:t>
      </w:r>
      <w:proofErr w:type="spellEnd"/>
      <w:r>
        <w:t>/mm/dd. This was done to follow the format of other AMs and ensure the cases were easier to list chronologically as the website lists them only geographically. As a result, some cases have the same number</w:t>
      </w:r>
      <w:r w:rsidR="00780BCE">
        <w:t xml:space="preserve"> as other cases</w:t>
      </w:r>
      <w:r>
        <w:t xml:space="preserve"> as they have the same date listed on the website.</w:t>
      </w:r>
    </w:p>
    <w:p w:rsidR="00505353" w:rsidP="00505353" w:rsidRDefault="00505353" w14:paraId="7E7ECEDF" w14:textId="6DF30021">
      <w:pPr>
        <w:pStyle w:val="ListParagraph"/>
        <w:numPr>
          <w:ilvl w:val="0"/>
          <w:numId w:val="4"/>
        </w:numPr>
        <w:spacing w:line="276" w:lineRule="auto"/>
      </w:pPr>
      <w:r>
        <w:t xml:space="preserve">Case 2011/04/01 – </w:t>
      </w:r>
      <w:r w:rsidRPr="00505353">
        <w:t>Financial Intermediaries-01/CAO Vice President Request</w:t>
      </w:r>
      <w:r>
        <w:t xml:space="preserve"> – is not listed with other cases on the CAO website but is available publicly here:</w:t>
      </w:r>
    </w:p>
    <w:p w:rsidR="00505353" w:rsidP="00505353" w:rsidRDefault="00000000" w14:paraId="7E01492D" w14:textId="2FAF2A35">
      <w:pPr>
        <w:pStyle w:val="ListParagraph"/>
        <w:spacing w:line="276" w:lineRule="auto"/>
        <w:rPr>
          <w:rStyle w:val="Hyperlink"/>
        </w:rPr>
      </w:pPr>
      <w:hyperlink w:history="1" r:id="rId16">
        <w:r w:rsidRPr="00631891" w:rsidR="00505353">
          <w:rPr>
            <w:rStyle w:val="Hyperlink"/>
          </w:rPr>
          <w:t>http://www.cao-ombudsman.org/newsroom/documents/FIAUDIT.htm</w:t>
        </w:r>
      </w:hyperlink>
    </w:p>
    <w:p w:rsidR="007C147F" w:rsidP="007C147F" w:rsidRDefault="007C147F" w14:paraId="007EE4CD" w14:textId="074F312F">
      <w:pPr>
        <w:pStyle w:val="ListParagraph"/>
        <w:numPr>
          <w:ilvl w:val="0"/>
          <w:numId w:val="4"/>
        </w:numPr>
        <w:spacing w:line="276" w:lineRule="auto"/>
      </w:pPr>
      <w:r>
        <w:t xml:space="preserve">Case </w:t>
      </w:r>
      <w:r w:rsidRPr="001549AB">
        <w:t xml:space="preserve">2011/08/25 </w:t>
      </w:r>
      <w:r>
        <w:t xml:space="preserve">(Republic of Kosovo) is not listed on the website with the rest of the cases but the case documents are publicly available by putting the project name in an </w:t>
      </w:r>
      <w:r w:rsidR="00195088">
        <w:t>Internet</w:t>
      </w:r>
      <w:r>
        <w:t xml:space="preserve"> search engine.</w:t>
      </w:r>
    </w:p>
    <w:p w:rsidRPr="00490DB8" w:rsidR="007C147F" w:rsidP="00A55E5C" w:rsidRDefault="007C147F" w14:paraId="69221BAD" w14:textId="1DB8357D">
      <w:pPr>
        <w:pStyle w:val="ListParagraph"/>
        <w:numPr>
          <w:ilvl w:val="0"/>
          <w:numId w:val="4"/>
        </w:numPr>
        <w:spacing w:line="276" w:lineRule="auto"/>
      </w:pPr>
      <w:r w:rsidRPr="00490DB8">
        <w:t xml:space="preserve">The IFC published a list of all cases (registered and unregistered) in its 2014 Annual Report but therefore data on unregistered cases </w:t>
      </w:r>
      <w:r w:rsidRPr="00490DB8" w:rsidR="00195088">
        <w:t xml:space="preserve">is only available </w:t>
      </w:r>
      <w:r w:rsidRPr="00490DB8">
        <w:t xml:space="preserve">from </w:t>
      </w:r>
      <w:r w:rsidRPr="00490DB8" w:rsidR="00195088">
        <w:t>the</w:t>
      </w:r>
      <w:r w:rsidRPr="00490DB8">
        <w:t xml:space="preserve"> beginning</w:t>
      </w:r>
      <w:r w:rsidRPr="00490DB8" w:rsidR="00195088">
        <w:t xml:space="preserve"> of the mechanism</w:t>
      </w:r>
      <w:r w:rsidRPr="00490DB8" w:rsidR="00A55E5C">
        <w:t xml:space="preserve"> until June 2014</w:t>
      </w:r>
      <w:r w:rsidRPr="00490DB8" w:rsidR="00A55742">
        <w:t>.</w:t>
      </w:r>
      <w:r w:rsidR="00490DB8">
        <w:t xml:space="preserve"> </w:t>
      </w:r>
      <w:r w:rsidR="00765B39">
        <w:t>Data in subsequent annual reports only notes registered complaints</w:t>
      </w:r>
      <w:r w:rsidR="00FD5912">
        <w:t xml:space="preserve">, including those which were registered but did not proceed past the eligibility stage. </w:t>
      </w:r>
    </w:p>
    <w:p w:rsidRPr="007C147F" w:rsidR="007C147F" w:rsidP="007C147F" w:rsidRDefault="007C147F" w14:paraId="2A9064FC" w14:textId="54E1376D">
      <w:pPr>
        <w:pStyle w:val="ListParagraph"/>
        <w:numPr>
          <w:ilvl w:val="0"/>
          <w:numId w:val="4"/>
        </w:numPr>
        <w:spacing w:line="276" w:lineRule="auto"/>
        <w:rPr>
          <w:rStyle w:val="Hyperlink"/>
          <w:color w:val="auto"/>
          <w:u w:val="none"/>
        </w:rPr>
      </w:pPr>
      <w:r>
        <w:t xml:space="preserve">The date given in the Annual Report for unregistered cases only includes a month and a year. As such, the Case Number for these has been created in the same </w:t>
      </w:r>
      <w:proofErr w:type="spellStart"/>
      <w:r>
        <w:t>yyyy</w:t>
      </w:r>
      <w:proofErr w:type="spellEnd"/>
      <w:r>
        <w:t>/mm/dd format by using the first day of the month (01).</w:t>
      </w:r>
    </w:p>
    <w:p w:rsidR="007C147F" w:rsidP="00505353" w:rsidRDefault="007C147F" w14:paraId="285C7946" w14:textId="77777777">
      <w:pPr>
        <w:pStyle w:val="ListParagraph"/>
        <w:spacing w:line="276" w:lineRule="auto"/>
        <w:rPr>
          <w:rStyle w:val="Hyperlink"/>
        </w:rPr>
      </w:pPr>
    </w:p>
    <w:p w:rsidRPr="007C147F" w:rsidR="007C147F" w:rsidP="007C147F" w:rsidRDefault="007C147F" w14:paraId="7EA547EB" w14:textId="625827F1">
      <w:pPr>
        <w:spacing w:line="276" w:lineRule="auto"/>
        <w:rPr>
          <w:b/>
          <w:i/>
        </w:rPr>
      </w:pPr>
      <w:r>
        <w:rPr>
          <w:b/>
          <w:i/>
        </w:rPr>
        <w:t>7</w:t>
      </w:r>
      <w:r w:rsidRPr="00C64617">
        <w:rPr>
          <w:b/>
          <w:i/>
        </w:rPr>
        <w:t xml:space="preserve">.1. </w:t>
      </w:r>
      <w:r>
        <w:rPr>
          <w:b/>
          <w:i/>
        </w:rPr>
        <w:t>Data Discrepancies</w:t>
      </w:r>
    </w:p>
    <w:p w:rsidR="00101F5C" w:rsidP="007C147F" w:rsidRDefault="00101F5C" w14:paraId="3558AC42" w14:textId="2069D665">
      <w:pPr>
        <w:spacing w:line="276" w:lineRule="auto"/>
      </w:pPr>
      <w:r>
        <w:t xml:space="preserve">There is </w:t>
      </w:r>
      <w:r w:rsidR="00173F98">
        <w:t>sometimes</w:t>
      </w:r>
      <w:r>
        <w:t xml:space="preserve"> a discrepancy between the date on the Request and the date listed unde</w:t>
      </w:r>
      <w:r w:rsidR="00FA59D3">
        <w:t>r ‘Date Filed’ on the website. Where there are discrepancies, t</w:t>
      </w:r>
      <w:r>
        <w:t xml:space="preserve">he ‘Date Filed’ </w:t>
      </w:r>
      <w:r w:rsidR="00FA59D3">
        <w:t>entry is what has been used to create the case number.</w:t>
      </w:r>
      <w:r w:rsidR="005851A6">
        <w:t xml:space="preserve"> This is because the website date is often the only one </w:t>
      </w:r>
      <w:proofErr w:type="gramStart"/>
      <w:r w:rsidR="005851A6">
        <w:t>available;</w:t>
      </w:r>
      <w:proofErr w:type="gramEnd"/>
      <w:r w:rsidR="005851A6">
        <w:t xml:space="preserve"> i.e. where there are no case documents.</w:t>
      </w:r>
    </w:p>
    <w:p w:rsidR="007C147F" w:rsidP="007C147F" w:rsidRDefault="007C147F" w14:paraId="2D2FC481" w14:textId="77777777">
      <w:pPr>
        <w:spacing w:line="276" w:lineRule="auto"/>
      </w:pPr>
    </w:p>
    <w:p w:rsidR="00101F5C" w:rsidP="007C147F" w:rsidRDefault="00195088" w14:paraId="17360D78" w14:textId="2F6E886D">
      <w:pPr>
        <w:spacing w:line="276" w:lineRule="auto"/>
      </w:pPr>
      <w:r>
        <w:t xml:space="preserve">The </w:t>
      </w:r>
      <w:r w:rsidRPr="00505353" w:rsidR="00FA59D3">
        <w:t xml:space="preserve">Mahindra Farm Services-01 to -04 cases are </w:t>
      </w:r>
      <w:r w:rsidRPr="00505353" w:rsidR="00101F5C">
        <w:t>exception</w:t>
      </w:r>
      <w:r w:rsidRPr="00505353" w:rsidR="00FA59D3">
        <w:t>s</w:t>
      </w:r>
      <w:r w:rsidRPr="00505353" w:rsidR="00101F5C">
        <w:t xml:space="preserve"> because there is one date </w:t>
      </w:r>
      <w:r w:rsidRPr="00505353" w:rsidR="00FA59D3">
        <w:t xml:space="preserve">listed </w:t>
      </w:r>
      <w:r w:rsidRPr="00505353" w:rsidR="00101F5C">
        <w:t xml:space="preserve">on the website </w:t>
      </w:r>
      <w:r w:rsidRPr="00505353" w:rsidR="00FA59D3">
        <w:t xml:space="preserve">for all the Requests but there are </w:t>
      </w:r>
      <w:r w:rsidRPr="00505353" w:rsidR="00101F5C">
        <w:t xml:space="preserve">four different dates </w:t>
      </w:r>
      <w:r w:rsidRPr="00505353" w:rsidR="00FA59D3">
        <w:t>in each of the</w:t>
      </w:r>
      <w:r w:rsidRPr="00505353" w:rsidR="00101F5C">
        <w:t xml:space="preserve"> four </w:t>
      </w:r>
      <w:r w:rsidRPr="00505353" w:rsidR="00FA59D3">
        <w:t>Requests and they span the years 2006 and 2007</w:t>
      </w:r>
      <w:r w:rsidRPr="00505353" w:rsidR="00101F5C">
        <w:t xml:space="preserve">. </w:t>
      </w:r>
    </w:p>
    <w:p w:rsidR="00173F98" w:rsidP="007C147F" w:rsidRDefault="00173F98" w14:paraId="17529A2A" w14:textId="77777777">
      <w:pPr>
        <w:spacing w:line="276" w:lineRule="auto"/>
      </w:pPr>
    </w:p>
    <w:p w:rsidR="00173F98" w:rsidP="007C147F" w:rsidRDefault="00173F98" w14:paraId="54C3A3F0" w14:textId="288A1667">
      <w:pPr>
        <w:spacing w:line="276" w:lineRule="auto"/>
      </w:pPr>
      <w:r>
        <w:t xml:space="preserve">The </w:t>
      </w:r>
      <w:proofErr w:type="spellStart"/>
      <w:r w:rsidRPr="00173F98">
        <w:t>Russkiy</w:t>
      </w:r>
      <w:proofErr w:type="spellEnd"/>
      <w:r w:rsidRPr="00173F98">
        <w:t xml:space="preserve"> Mir II-03/Taman</w:t>
      </w:r>
      <w:r>
        <w:t xml:space="preserve"> case </w:t>
      </w:r>
      <w:r w:rsidR="00195088">
        <w:t>is an exception because the Request is dated 17</w:t>
      </w:r>
      <w:r w:rsidRPr="00195088" w:rsidR="00195088">
        <w:rPr>
          <w:vertAlign w:val="superscript"/>
        </w:rPr>
        <w:t>th</w:t>
      </w:r>
      <w:r w:rsidR="00195088">
        <w:t xml:space="preserve"> September 2008 but the date on the website under ‘Date Filed’ is 1</w:t>
      </w:r>
      <w:r w:rsidRPr="00195088" w:rsidR="00195088">
        <w:rPr>
          <w:vertAlign w:val="superscript"/>
        </w:rPr>
        <w:t>st</w:t>
      </w:r>
      <w:r w:rsidR="00195088">
        <w:t xml:space="preserve"> March 2009. Given that this impacts the year in which it is counted, the author has chosen the former date.</w:t>
      </w:r>
    </w:p>
    <w:p w:rsidR="007C147F" w:rsidP="007C147F" w:rsidRDefault="007C147F" w14:paraId="3E04355A" w14:textId="77777777">
      <w:pPr>
        <w:spacing w:line="276" w:lineRule="auto"/>
      </w:pPr>
    </w:p>
    <w:p w:rsidRPr="00505353" w:rsidR="00101F5C" w:rsidP="007C147F" w:rsidRDefault="00505353" w14:paraId="395AF589" w14:textId="3DAF4233">
      <w:pPr>
        <w:spacing w:line="276" w:lineRule="auto"/>
      </w:pPr>
      <w:r w:rsidRPr="00505353">
        <w:t>Using the ‘Date Filed’ date</w:t>
      </w:r>
      <w:r w:rsidRPr="00505353" w:rsidR="005D1E08">
        <w:t xml:space="preserve"> does result in some cases being out of sequence. </w:t>
      </w:r>
    </w:p>
    <w:p w:rsidRPr="00505353" w:rsidR="00101F5C" w:rsidP="00195088" w:rsidRDefault="005D1E08" w14:paraId="2711CD0F" w14:textId="79ECFC0A">
      <w:pPr>
        <w:pStyle w:val="ListParagraph"/>
        <w:numPr>
          <w:ilvl w:val="0"/>
          <w:numId w:val="3"/>
        </w:numPr>
        <w:spacing w:line="276" w:lineRule="auto"/>
      </w:pPr>
      <w:r w:rsidRPr="00505353">
        <w:lastRenderedPageBreak/>
        <w:t>BTC Pipeline-09/</w:t>
      </w:r>
      <w:proofErr w:type="spellStart"/>
      <w:r w:rsidRPr="00505353">
        <w:t>TetriTskaro</w:t>
      </w:r>
      <w:proofErr w:type="spellEnd"/>
      <w:r w:rsidRPr="00505353">
        <w:t xml:space="preserve"> (11251) is listed as 29</w:t>
      </w:r>
      <w:r w:rsidRPr="007C147F">
        <w:rPr>
          <w:vertAlign w:val="superscript"/>
        </w:rPr>
        <w:t>th</w:t>
      </w:r>
      <w:r w:rsidRPr="00505353">
        <w:t xml:space="preserve"> May on the website and has been given case num</w:t>
      </w:r>
      <w:r w:rsidRPr="00505353" w:rsidR="00101F5C">
        <w:t>ber 2004/05/29 but BTC Pipeline-</w:t>
      </w:r>
      <w:r w:rsidRPr="00505353">
        <w:t xml:space="preserve">10 and </w:t>
      </w:r>
      <w:r w:rsidRPr="00505353" w:rsidR="00101F5C">
        <w:t>-</w:t>
      </w:r>
      <w:r w:rsidRPr="00505353">
        <w:t>11 are listed as 21</w:t>
      </w:r>
      <w:r w:rsidRPr="007C147F">
        <w:rPr>
          <w:vertAlign w:val="superscript"/>
        </w:rPr>
        <w:t>st</w:t>
      </w:r>
      <w:r w:rsidRPr="00505353">
        <w:t xml:space="preserve"> May and </w:t>
      </w:r>
      <w:r w:rsidR="00195088">
        <w:t xml:space="preserve">have both </w:t>
      </w:r>
      <w:r w:rsidRPr="00505353">
        <w:t>bee</w:t>
      </w:r>
      <w:r w:rsidR="00195088">
        <w:t xml:space="preserve">n given case number 2004/05/21. </w:t>
      </w:r>
      <w:r w:rsidRPr="00505353" w:rsidR="00101F5C">
        <w:t>BTC Pipeline-</w:t>
      </w:r>
      <w:r w:rsidRPr="00505353">
        <w:t>12 is listed as 28</w:t>
      </w:r>
      <w:r w:rsidRPr="00195088">
        <w:rPr>
          <w:vertAlign w:val="superscript"/>
        </w:rPr>
        <w:t>th</w:t>
      </w:r>
      <w:r w:rsidRPr="00505353">
        <w:t xml:space="preserve"> May on the website and has been given case number 2004/05/28. </w:t>
      </w:r>
    </w:p>
    <w:p w:rsidR="00173F98" w:rsidP="00173F98" w:rsidRDefault="00101F5C" w14:paraId="75358EC1" w14:textId="2FF35DB4">
      <w:pPr>
        <w:pStyle w:val="ListParagraph"/>
        <w:numPr>
          <w:ilvl w:val="0"/>
          <w:numId w:val="3"/>
        </w:numPr>
        <w:spacing w:line="276" w:lineRule="auto"/>
      </w:pPr>
      <w:r w:rsidRPr="00505353">
        <w:t>BTC Pipeline-17/</w:t>
      </w:r>
      <w:proofErr w:type="spellStart"/>
      <w:r w:rsidRPr="00505353">
        <w:t>Tadzrisi</w:t>
      </w:r>
      <w:proofErr w:type="spellEnd"/>
      <w:r w:rsidRPr="00505353">
        <w:t xml:space="preserve"> (11251) is listed as 10</w:t>
      </w:r>
      <w:r w:rsidRPr="007C147F">
        <w:rPr>
          <w:vertAlign w:val="superscript"/>
        </w:rPr>
        <w:t>th</w:t>
      </w:r>
      <w:r w:rsidRPr="00505353">
        <w:t xml:space="preserve"> December on the website and has been given case number 2004/12/10 but BTC Pipeline-18 is listed as 1</w:t>
      </w:r>
      <w:r w:rsidRPr="007C147F">
        <w:rPr>
          <w:vertAlign w:val="superscript"/>
        </w:rPr>
        <w:t>st</w:t>
      </w:r>
      <w:r w:rsidRPr="00505353">
        <w:t xml:space="preserve"> December and has been given case number 2004/12/01.</w:t>
      </w:r>
    </w:p>
    <w:p w:rsidRPr="00505353" w:rsidR="0070122C" w:rsidP="0070122C" w:rsidRDefault="0070122C" w14:paraId="201C573E" w14:textId="77777777">
      <w:pPr>
        <w:pStyle w:val="ListParagraph"/>
        <w:spacing w:line="276" w:lineRule="auto"/>
      </w:pPr>
    </w:p>
    <w:p w:rsidRPr="002B06AC" w:rsidR="002B06AC" w:rsidP="0070122C" w:rsidRDefault="002B06AC" w14:paraId="668B12F1" w14:textId="74B4DB5D">
      <w:pPr>
        <w:spacing w:line="276" w:lineRule="auto"/>
        <w:rPr>
          <w:b/>
          <w:i/>
        </w:rPr>
      </w:pPr>
      <w:r>
        <w:rPr>
          <w:b/>
          <w:i/>
        </w:rPr>
        <w:t>7.2</w:t>
      </w:r>
      <w:r w:rsidRPr="00C64617">
        <w:rPr>
          <w:b/>
          <w:i/>
        </w:rPr>
        <w:t xml:space="preserve">. </w:t>
      </w:r>
      <w:r>
        <w:rPr>
          <w:b/>
          <w:i/>
        </w:rPr>
        <w:t>Processing Procedure</w:t>
      </w:r>
    </w:p>
    <w:p w:rsidR="0070122C" w:rsidP="0070122C" w:rsidRDefault="0070122C" w14:paraId="3EE4BD49" w14:textId="56CBA49A">
      <w:pPr>
        <w:spacing w:line="276" w:lineRule="auto"/>
        <w:rPr>
          <w:lang w:val="en-AU"/>
        </w:rPr>
      </w:pPr>
      <w:r>
        <w:rPr>
          <w:lang w:val="en-AU"/>
        </w:rPr>
        <w:t>From 2000</w:t>
      </w:r>
      <w:r w:rsidR="000B0E32">
        <w:rPr>
          <w:lang w:val="en-AU"/>
        </w:rPr>
        <w:t xml:space="preserve"> until 2006</w:t>
      </w:r>
      <w:r w:rsidR="003C2A51">
        <w:rPr>
          <w:lang w:val="en-AU"/>
        </w:rPr>
        <w:t xml:space="preserve"> Requesto</w:t>
      </w:r>
      <w:r w:rsidRPr="0070122C">
        <w:rPr>
          <w:lang w:val="en-AU"/>
        </w:rPr>
        <w:t>rs had to first go through the consultation phase</w:t>
      </w:r>
      <w:r w:rsidR="00A55742">
        <w:rPr>
          <w:lang w:val="en-AU"/>
        </w:rPr>
        <w:t xml:space="preserve"> before progressing to the compliance phase. </w:t>
      </w:r>
      <w:r w:rsidR="006D0065">
        <w:rPr>
          <w:lang w:val="en-AU"/>
        </w:rPr>
        <w:t xml:space="preserve"> </w:t>
      </w:r>
      <w:r w:rsidR="000B0E32">
        <w:rPr>
          <w:lang w:val="en-AU"/>
        </w:rPr>
        <w:t xml:space="preserve">A Compliance audit could stem either from a consultation process or arise independently of it. From 2007 an unsuccessful mediation would automatically trigger a compliance audit. </w:t>
      </w:r>
      <w:r w:rsidRPr="0070122C">
        <w:rPr>
          <w:lang w:val="en-AU"/>
        </w:rPr>
        <w:t xml:space="preserve"> </w:t>
      </w:r>
      <w:r w:rsidR="006D0065">
        <w:rPr>
          <w:lang w:val="en-AU"/>
        </w:rPr>
        <w:t>Under the revised Operational G</w:t>
      </w:r>
      <w:r w:rsidR="000B0E32">
        <w:rPr>
          <w:lang w:val="en-AU"/>
        </w:rPr>
        <w:t xml:space="preserve">uidelines (2013) claimants can now request either mediation or compliance investigation. If </w:t>
      </w:r>
      <w:r w:rsidRPr="0070122C">
        <w:rPr>
          <w:lang w:val="en-AU"/>
        </w:rPr>
        <w:t>consultation</w:t>
      </w:r>
      <w:r w:rsidR="000B0E32">
        <w:rPr>
          <w:lang w:val="en-AU"/>
        </w:rPr>
        <w:t xml:space="preserve"> </w:t>
      </w:r>
      <w:r w:rsidR="00BC64E3">
        <w:rPr>
          <w:lang w:val="en-AU"/>
        </w:rPr>
        <w:t>fails</w:t>
      </w:r>
      <w:r w:rsidR="000B0E32">
        <w:rPr>
          <w:lang w:val="en-AU"/>
        </w:rPr>
        <w:t xml:space="preserve">, the case </w:t>
      </w:r>
      <w:r w:rsidR="00E80B40">
        <w:rPr>
          <w:lang w:val="en-AU"/>
        </w:rPr>
        <w:t xml:space="preserve">is automatically </w:t>
      </w:r>
      <w:r w:rsidR="000B0E32">
        <w:rPr>
          <w:lang w:val="en-AU"/>
        </w:rPr>
        <w:t xml:space="preserve">transferred </w:t>
      </w:r>
      <w:r w:rsidRPr="0070122C">
        <w:rPr>
          <w:lang w:val="en-AU"/>
        </w:rPr>
        <w:t xml:space="preserve">for </w:t>
      </w:r>
      <w:r w:rsidR="000B0E32">
        <w:rPr>
          <w:lang w:val="en-AU"/>
        </w:rPr>
        <w:t xml:space="preserve">a </w:t>
      </w:r>
      <w:r w:rsidRPr="0070122C">
        <w:rPr>
          <w:lang w:val="en-AU"/>
        </w:rPr>
        <w:t>compliance</w:t>
      </w:r>
      <w:r w:rsidR="000B0E32">
        <w:rPr>
          <w:lang w:val="en-AU"/>
        </w:rPr>
        <w:t xml:space="preserve"> audit</w:t>
      </w:r>
      <w:r w:rsidRPr="0070122C">
        <w:rPr>
          <w:lang w:val="en-AU"/>
        </w:rPr>
        <w:t xml:space="preserve">. </w:t>
      </w:r>
    </w:p>
    <w:p w:rsidR="006D0065" w:rsidP="0070122C" w:rsidRDefault="006D0065" w14:paraId="42116DC5" w14:textId="77777777">
      <w:pPr>
        <w:spacing w:line="276" w:lineRule="auto"/>
        <w:rPr>
          <w:lang w:val="en-AU"/>
        </w:rPr>
      </w:pPr>
    </w:p>
    <w:p w:rsidR="006D0065" w:rsidP="006D0065" w:rsidRDefault="006D0065" w14:paraId="517539F7" w14:textId="77777777">
      <w:pPr>
        <w:spacing w:line="276" w:lineRule="auto"/>
        <w:rPr>
          <w:lang w:val="en-AU"/>
        </w:rPr>
      </w:pPr>
      <w:r>
        <w:rPr>
          <w:lang w:val="en-AU"/>
        </w:rPr>
        <w:t xml:space="preserve">Additionally, from 2000 until 2003, and from 2007 until present, the Ombudsman has also been able to trigger a compliance review. The World Bank Group President, IFC Management, and MIGA Management have had the power to trigger a compliance review from the beginning of the mechanism. </w:t>
      </w:r>
    </w:p>
    <w:p w:rsidR="006D0065" w:rsidP="006D0065" w:rsidRDefault="006D0065" w14:paraId="193D92F2" w14:textId="77777777">
      <w:pPr>
        <w:spacing w:line="276" w:lineRule="auto"/>
        <w:rPr>
          <w:lang w:val="en-AU"/>
        </w:rPr>
      </w:pPr>
    </w:p>
    <w:p w:rsidRPr="005C69D0" w:rsidR="006D0065" w:rsidP="0070122C" w:rsidRDefault="006D0065" w14:paraId="31ACE90C" w14:textId="77777777">
      <w:pPr>
        <w:spacing w:line="276" w:lineRule="auto"/>
      </w:pPr>
    </w:p>
    <w:p w:rsidR="00DC5C8C" w:rsidP="00DC5C8C" w:rsidRDefault="00DC5C8C" w14:paraId="24960523" w14:textId="77777777">
      <w:pPr>
        <w:spacing w:line="276" w:lineRule="auto"/>
      </w:pPr>
    </w:p>
    <w:p w:rsidR="00DC5C8C" w:rsidP="00DC5C8C" w:rsidRDefault="00DC5C8C" w14:paraId="2A4FD3E7" w14:textId="77777777">
      <w:pPr>
        <w:spacing w:line="276" w:lineRule="auto"/>
      </w:pPr>
    </w:p>
    <w:p w:rsidRPr="0099068B" w:rsidR="002C0ED0" w:rsidP="00DC5C8C" w:rsidRDefault="002C0ED0" w14:paraId="59AE3277" w14:textId="52B90F95">
      <w:pPr>
        <w:spacing w:line="276" w:lineRule="auto"/>
        <w:sectPr w:rsidRPr="0099068B" w:rsidR="002C0ED0" w:rsidSect="006204D0">
          <w:pgSz w:w="11900" w:h="16840" w:orient="portrait"/>
          <w:pgMar w:top="1440" w:right="1418" w:bottom="1440" w:left="1418" w:header="708" w:footer="708" w:gutter="0"/>
          <w:cols w:space="708"/>
          <w:docGrid w:linePitch="360"/>
        </w:sectPr>
      </w:pPr>
    </w:p>
    <w:p w:rsidRPr="00576355" w:rsidR="00C063B1" w:rsidP="00D30F3F" w:rsidRDefault="004C0219" w14:paraId="05E06D83" w14:textId="33F6C104">
      <w:pPr>
        <w:spacing w:line="276" w:lineRule="auto"/>
        <w:jc w:val="center"/>
        <w:rPr>
          <w:sz w:val="38"/>
          <w:szCs w:val="38"/>
          <w:u w:val="single"/>
        </w:rPr>
      </w:pPr>
      <w:r w:rsidRPr="00576355">
        <w:rPr>
          <w:sz w:val="38"/>
          <w:szCs w:val="38"/>
          <w:u w:val="single"/>
        </w:rPr>
        <w:lastRenderedPageBreak/>
        <w:t xml:space="preserve">8. </w:t>
      </w:r>
      <w:r w:rsidRPr="00576355" w:rsidR="00C063B1">
        <w:rPr>
          <w:sz w:val="38"/>
          <w:szCs w:val="38"/>
          <w:u w:val="single"/>
        </w:rPr>
        <w:t>World Bank</w:t>
      </w:r>
    </w:p>
    <w:p w:rsidR="00C63895" w:rsidP="005C6C0D" w:rsidRDefault="00A54F54" w14:paraId="200741A3" w14:textId="66D92B69">
      <w:pPr>
        <w:spacing w:line="276" w:lineRule="auto"/>
      </w:pPr>
      <w:r w:rsidRPr="00FB5A0B">
        <w:t>The World Bank spreadsheet is set out differently to the others as</w:t>
      </w:r>
      <w:r w:rsidRPr="00FB5A0B" w:rsidR="00DF395F">
        <w:t xml:space="preserve">, </w:t>
      </w:r>
      <w:r w:rsidRPr="00FB5A0B" w:rsidR="007E6CF6">
        <w:t xml:space="preserve">prior to 2021, </w:t>
      </w:r>
      <w:r w:rsidRPr="00FB5A0B">
        <w:t xml:space="preserve">it </w:t>
      </w:r>
      <w:r w:rsidRPr="00FB5A0B" w:rsidR="007E6CF6">
        <w:t xml:space="preserve">lacked </w:t>
      </w:r>
      <w:r w:rsidRPr="00FB5A0B" w:rsidR="00A55E5C">
        <w:t>a consultation p</w:t>
      </w:r>
      <w:r w:rsidRPr="00FB5A0B">
        <w:t>hase and therefore has a different timeline of how cases progress.</w:t>
      </w:r>
      <w:r>
        <w:t xml:space="preserve"> </w:t>
      </w:r>
      <w:r w:rsidR="00C63895">
        <w:t>Furthermore, I</w:t>
      </w:r>
      <w:r w:rsidR="00A55E5C">
        <w:t xml:space="preserve">nspection </w:t>
      </w:r>
      <w:r w:rsidR="00C63895">
        <w:t>P</w:t>
      </w:r>
      <w:r w:rsidR="00A55E5C">
        <w:t>anel</w:t>
      </w:r>
      <w:r w:rsidR="00C63895">
        <w:t xml:space="preserve"> cases often involve far more alleged and actual policy violations than other banks and this format allows that data to be better searched and aggregated. Lastly, during initial research it became apparent that policies were not necessarily consistently tracking through </w:t>
      </w:r>
      <w:r w:rsidR="00F75660">
        <w:t>the documents for each case (</w:t>
      </w:r>
      <w:proofErr w:type="gramStart"/>
      <w:r w:rsidR="00F75660">
        <w:t>i.e</w:t>
      </w:r>
      <w:r w:rsidR="00C63895">
        <w:t>.</w:t>
      </w:r>
      <w:proofErr w:type="gramEnd"/>
      <w:r w:rsidR="00C63895">
        <w:t xml:space="preserve"> the Request listed ten alleged violations, the Notice of Registration listed seven and the Investigation at the end only involved five). This format allows the user to readily see for any specific case </w:t>
      </w:r>
      <w:proofErr w:type="gramStart"/>
      <w:r w:rsidR="00C63895">
        <w:t>whether or not</w:t>
      </w:r>
      <w:proofErr w:type="gramEnd"/>
      <w:r w:rsidR="00C63895">
        <w:t xml:space="preserve"> policies </w:t>
      </w:r>
      <w:r w:rsidR="00A55E5C">
        <w:t xml:space="preserve">being investigated </w:t>
      </w:r>
      <w:r w:rsidR="00C63895">
        <w:t>are drop</w:t>
      </w:r>
      <w:r w:rsidR="00BA1841">
        <w:t>ping off as the case progresses.</w:t>
      </w:r>
      <w:r w:rsidR="00BA1841">
        <w:tab/>
      </w:r>
    </w:p>
    <w:p w:rsidRPr="002D1B46" w:rsidR="00C63895" w:rsidP="00C63895" w:rsidRDefault="00C63895" w14:paraId="66544741" w14:textId="3ECEEB91">
      <w:pPr>
        <w:spacing w:line="276" w:lineRule="auto"/>
        <w:rPr>
          <w:b/>
          <w:i/>
        </w:rPr>
      </w:pPr>
      <w:r>
        <w:rPr>
          <w:b/>
          <w:i/>
        </w:rPr>
        <w:t>8</w:t>
      </w:r>
      <w:r w:rsidRPr="00C64617">
        <w:rPr>
          <w:b/>
          <w:i/>
        </w:rPr>
        <w:t>.</w:t>
      </w:r>
      <w:r>
        <w:rPr>
          <w:b/>
          <w:i/>
        </w:rPr>
        <w:t>1.</w:t>
      </w:r>
      <w:r w:rsidRPr="00C64617">
        <w:rPr>
          <w:b/>
          <w:i/>
        </w:rPr>
        <w:t xml:space="preserve"> </w:t>
      </w:r>
      <w:r>
        <w:rPr>
          <w:b/>
          <w:i/>
        </w:rPr>
        <w:t>Column Headings</w:t>
      </w:r>
      <w:r w:rsidR="00333C06">
        <w:rPr>
          <w:b/>
          <w:i/>
        </w:rPr>
        <w:t xml:space="preserve"> and Spreadsheet Layout</w:t>
      </w:r>
    </w:p>
    <w:p w:rsidR="00C63895" w:rsidP="005C6C0D" w:rsidRDefault="00987A75" w14:paraId="517DE8AE" w14:textId="5CA41492">
      <w:pPr>
        <w:spacing w:line="276" w:lineRule="auto"/>
      </w:pPr>
      <w:r>
        <w:rPr>
          <w:u w:val="single"/>
        </w:rPr>
        <w:t>Case No., Project, Year, Country</w:t>
      </w:r>
      <w:r>
        <w:t xml:space="preserve"> – Taken directly from the</w:t>
      </w:r>
      <w:r w:rsidR="00B22956">
        <w:t xml:space="preserve"> publicly available</w:t>
      </w:r>
      <w:r>
        <w:t xml:space="preserve"> IP website of the WB and based on the equivalent column headings described in </w:t>
      </w:r>
      <w:r w:rsidRPr="00895524">
        <w:t>Section 2.3.</w:t>
      </w:r>
      <w:r w:rsidR="0039392B">
        <w:t xml:space="preserve"> </w:t>
      </w:r>
    </w:p>
    <w:p w:rsidR="001756F0" w:rsidP="005C6C0D" w:rsidRDefault="001756F0" w14:paraId="7486C09A" w14:textId="77777777">
      <w:pPr>
        <w:spacing w:line="276" w:lineRule="auto"/>
      </w:pPr>
    </w:p>
    <w:p w:rsidR="001756F0" w:rsidP="001756F0" w:rsidRDefault="001756F0" w14:paraId="0B67CAEB" w14:textId="3DBFC195">
      <w:pPr>
        <w:spacing w:line="276" w:lineRule="auto"/>
        <w:rPr>
          <w:lang w:val="en-AU"/>
        </w:rPr>
      </w:pPr>
      <w:r>
        <w:rPr>
          <w:lang w:val="en-AU"/>
        </w:rPr>
        <w:t>Some cases entail multiple Requests – the author has followed the case numbering on the Inspection Panel website.</w:t>
      </w:r>
    </w:p>
    <w:p w:rsidR="00987A75" w:rsidP="005C6C0D" w:rsidRDefault="00987A75" w14:paraId="7AB0251C" w14:textId="77777777">
      <w:pPr>
        <w:spacing w:line="276" w:lineRule="auto"/>
      </w:pPr>
    </w:p>
    <w:p w:rsidR="00987A75" w:rsidP="005C6C0D" w:rsidRDefault="00987A75" w14:paraId="528C8E9E" w14:textId="23429233">
      <w:pPr>
        <w:spacing w:line="276" w:lineRule="auto"/>
      </w:pPr>
      <w:r>
        <w:rPr>
          <w:u w:val="single"/>
        </w:rPr>
        <w:t>Investigation</w:t>
      </w:r>
      <w:r w:rsidR="00F71668">
        <w:t xml:space="preserve"> –</w:t>
      </w:r>
      <w:r>
        <w:t xml:space="preserve"> Describes what stage the case progressed to from the following</w:t>
      </w:r>
      <w:r w:rsidR="0060292E">
        <w:t xml:space="preserve"> options</w:t>
      </w:r>
      <w:r>
        <w:t>:</w:t>
      </w:r>
    </w:p>
    <w:p w:rsidR="00987A75" w:rsidP="0060292E" w:rsidRDefault="00987A75" w14:paraId="6D53DF46" w14:textId="1AD3BC2D">
      <w:pPr>
        <w:pStyle w:val="ListParagraph"/>
        <w:numPr>
          <w:ilvl w:val="0"/>
          <w:numId w:val="25"/>
        </w:numPr>
        <w:spacing w:line="276" w:lineRule="auto"/>
      </w:pPr>
      <w:r>
        <w:t>Not registe</w:t>
      </w:r>
      <w:r w:rsidR="0060292E">
        <w:t>red – Determined ineligible for R</w:t>
      </w:r>
      <w:r>
        <w:t>egistration.</w:t>
      </w:r>
    </w:p>
    <w:p w:rsidR="00987A75" w:rsidP="0060292E" w:rsidRDefault="0060292E" w14:paraId="6AB5EDC3" w14:textId="6E57FFAD">
      <w:pPr>
        <w:pStyle w:val="ListParagraph"/>
        <w:numPr>
          <w:ilvl w:val="0"/>
          <w:numId w:val="25"/>
        </w:numPr>
        <w:spacing w:line="276" w:lineRule="auto"/>
      </w:pPr>
      <w:r>
        <w:t xml:space="preserve">No – </w:t>
      </w:r>
      <w:r w:rsidR="00F75660">
        <w:t>Case was not investigated</w:t>
      </w:r>
      <w:r w:rsidR="00987A75">
        <w:t>.</w:t>
      </w:r>
    </w:p>
    <w:p w:rsidR="00987A75" w:rsidP="0060292E" w:rsidRDefault="0060292E" w14:paraId="64137D47" w14:textId="7C6998E9">
      <w:pPr>
        <w:pStyle w:val="ListParagraph"/>
        <w:numPr>
          <w:ilvl w:val="0"/>
          <w:numId w:val="25"/>
        </w:numPr>
        <w:spacing w:line="276" w:lineRule="auto"/>
      </w:pPr>
      <w:r>
        <w:t xml:space="preserve">Yes – </w:t>
      </w:r>
      <w:r w:rsidR="00987A75">
        <w:t>Case has been/is being investigated.</w:t>
      </w:r>
    </w:p>
    <w:p w:rsidR="00987A75" w:rsidP="0060292E" w:rsidRDefault="0060292E" w14:paraId="0353C1CB" w14:textId="7F6755E2">
      <w:pPr>
        <w:pStyle w:val="ListParagraph"/>
        <w:numPr>
          <w:ilvl w:val="0"/>
          <w:numId w:val="25"/>
        </w:numPr>
        <w:spacing w:line="276" w:lineRule="auto"/>
      </w:pPr>
      <w:r>
        <w:t xml:space="preserve">Awaiting EAR – </w:t>
      </w:r>
      <w:r w:rsidR="00987A75">
        <w:t xml:space="preserve">Case is pending, awaiting the Eligibility Assessment Report to determine </w:t>
      </w:r>
      <w:proofErr w:type="gramStart"/>
      <w:r w:rsidR="00987A75">
        <w:t>whether or not</w:t>
      </w:r>
      <w:proofErr w:type="gramEnd"/>
      <w:r w:rsidR="00987A75">
        <w:t xml:space="preserve"> it is eligible for Investigation.</w:t>
      </w:r>
    </w:p>
    <w:p w:rsidR="00E02504" w:rsidP="00E02504" w:rsidRDefault="00E02504" w14:paraId="4CA24F20" w14:textId="77777777">
      <w:pPr>
        <w:spacing w:line="276" w:lineRule="auto"/>
      </w:pPr>
    </w:p>
    <w:p w:rsidR="00E02504" w:rsidP="00E02504" w:rsidRDefault="00E02504" w14:paraId="21A8B113" w14:textId="0006E783">
      <w:pPr>
        <w:spacing w:line="276" w:lineRule="auto"/>
      </w:pPr>
      <w:r>
        <w:rPr>
          <w:u w:val="single"/>
        </w:rPr>
        <w:t>Reason</w:t>
      </w:r>
      <w:r w:rsidR="00D72C06">
        <w:rPr>
          <w:u w:val="single"/>
        </w:rPr>
        <w:t xml:space="preserve"> OR Status OR Response</w:t>
      </w:r>
      <w:r w:rsidR="00F71668">
        <w:t xml:space="preserve"> –</w:t>
      </w:r>
      <w:r>
        <w:t xml:space="preserve"> For any case that was not investigated (</w:t>
      </w:r>
      <w:proofErr w:type="gramStart"/>
      <w:r>
        <w:t>i.e.</w:t>
      </w:r>
      <w:proofErr w:type="gramEnd"/>
      <w:r>
        <w:t xml:space="preserve"> not registered or determined not eligible for Investigation) this column has the reason why, corresponding to the reasons detailed in </w:t>
      </w:r>
      <w:r w:rsidRPr="00895524">
        <w:t>Section 2.4.</w:t>
      </w:r>
    </w:p>
    <w:p w:rsidR="00E02504" w:rsidP="00E02504" w:rsidRDefault="00E02504" w14:paraId="42CA2E54" w14:textId="0AD75244">
      <w:pPr>
        <w:spacing w:line="276" w:lineRule="auto"/>
      </w:pPr>
      <w:r>
        <w:t xml:space="preserve">For cases that are in </w:t>
      </w:r>
      <w:r w:rsidR="00A35ED4">
        <w:t>the process of being investigated, it states ‘Awaiting Investigation Report’.</w:t>
      </w:r>
    </w:p>
    <w:p w:rsidR="00A35ED4" w:rsidP="00E02504" w:rsidRDefault="00A35ED4" w14:paraId="4642C6F4" w14:textId="0B8D6C7E">
      <w:pPr>
        <w:spacing w:line="276" w:lineRule="auto"/>
      </w:pPr>
      <w:r>
        <w:t>For cases that have already been investigated, it outlines Management follow up:</w:t>
      </w:r>
    </w:p>
    <w:p w:rsidR="00A35ED4" w:rsidP="00A35ED4" w:rsidRDefault="00A35ED4" w14:paraId="72E30D98" w14:textId="22668C2F">
      <w:pPr>
        <w:pStyle w:val="ListParagraph"/>
        <w:numPr>
          <w:ilvl w:val="0"/>
          <w:numId w:val="27"/>
        </w:numPr>
        <w:spacing w:line="276" w:lineRule="auto"/>
      </w:pPr>
      <w:r>
        <w:t>No Management Response</w:t>
      </w:r>
    </w:p>
    <w:p w:rsidR="00A35ED4" w:rsidP="00A35ED4" w:rsidRDefault="00A35ED4" w14:paraId="60F4978B" w14:textId="0F58973F">
      <w:pPr>
        <w:pStyle w:val="ListParagraph"/>
        <w:numPr>
          <w:ilvl w:val="0"/>
          <w:numId w:val="27"/>
        </w:numPr>
        <w:spacing w:line="276" w:lineRule="auto"/>
      </w:pPr>
      <w:r>
        <w:t>Management Response, no Action Plan</w:t>
      </w:r>
    </w:p>
    <w:p w:rsidR="00A35ED4" w:rsidP="00A35ED4" w:rsidRDefault="00A35ED4" w14:paraId="531CB500" w14:textId="58EBFFEE">
      <w:pPr>
        <w:pStyle w:val="ListParagraph"/>
        <w:numPr>
          <w:ilvl w:val="0"/>
          <w:numId w:val="27"/>
        </w:numPr>
        <w:spacing w:line="276" w:lineRule="auto"/>
      </w:pPr>
      <w:r>
        <w:t>Management Response with Action Plan</w:t>
      </w:r>
    </w:p>
    <w:p w:rsidR="00A35ED4" w:rsidP="00A35ED4" w:rsidRDefault="00895524" w14:paraId="54AF01FC" w14:textId="39CE5ED2">
      <w:pPr>
        <w:pStyle w:val="ListParagraph"/>
        <w:numPr>
          <w:ilvl w:val="0"/>
          <w:numId w:val="27"/>
        </w:numPr>
        <w:spacing w:line="276" w:lineRule="auto"/>
      </w:pPr>
      <w:r>
        <w:t>Number</w:t>
      </w:r>
      <w:r w:rsidR="00A35ED4">
        <w:t xml:space="preserve"> of follow up reports after Action Plan (with Panel Review stated if </w:t>
      </w:r>
      <w:r w:rsidR="0060292E">
        <w:t>there was one</w:t>
      </w:r>
      <w:r w:rsidR="00A35ED4">
        <w:t>)</w:t>
      </w:r>
    </w:p>
    <w:p w:rsidR="001F40D7" w:rsidP="00D72C06" w:rsidRDefault="001F40D7" w14:paraId="6F29EE40" w14:textId="77777777">
      <w:pPr>
        <w:spacing w:line="276" w:lineRule="auto"/>
        <w:rPr>
          <w:i/>
        </w:rPr>
      </w:pPr>
    </w:p>
    <w:p w:rsidRPr="001F40D7" w:rsidR="00A35ED4" w:rsidP="00A35ED4" w:rsidRDefault="006C0782" w14:paraId="660EA69D" w14:textId="2EC89C5D">
      <w:pPr>
        <w:spacing w:line="276" w:lineRule="auto"/>
        <w:rPr>
          <w:i/>
        </w:rPr>
      </w:pPr>
      <w:r>
        <w:rPr>
          <w:i/>
        </w:rPr>
        <w:t>Note that these outcomes are mutually exclusive</w:t>
      </w:r>
      <w:r w:rsidR="007B4EC1">
        <w:rPr>
          <w:i/>
        </w:rPr>
        <w:t>, which is why they have been combined into one column</w:t>
      </w:r>
      <w:r>
        <w:rPr>
          <w:i/>
        </w:rPr>
        <w:t xml:space="preserve">. </w:t>
      </w:r>
      <w:r w:rsidR="001F40D7">
        <w:rPr>
          <w:i/>
        </w:rPr>
        <w:t xml:space="preserve">Either a case was not investigated so it will have a ‘Reason’; </w:t>
      </w:r>
      <w:r w:rsidRPr="001F40D7" w:rsidR="001F40D7">
        <w:rPr>
          <w:i/>
          <w:u w:val="single"/>
        </w:rPr>
        <w:t>or</w:t>
      </w:r>
      <w:r w:rsidR="001F40D7">
        <w:rPr>
          <w:i/>
        </w:rPr>
        <w:t xml:space="preserve"> it is in the process of being investigated so it will have a ‘Status’; </w:t>
      </w:r>
      <w:r w:rsidRPr="001F40D7" w:rsidR="001F40D7">
        <w:rPr>
          <w:i/>
          <w:u w:val="single"/>
        </w:rPr>
        <w:t>or</w:t>
      </w:r>
      <w:r w:rsidR="001F40D7">
        <w:rPr>
          <w:i/>
        </w:rPr>
        <w:t xml:space="preserve"> it has already been investigated so it will have a ‘Response’.</w:t>
      </w:r>
    </w:p>
    <w:p w:rsidR="00A35ED4" w:rsidP="00A35ED4" w:rsidRDefault="00A35ED4" w14:paraId="4D4F63DB" w14:textId="54C675DA">
      <w:pPr>
        <w:spacing w:line="276" w:lineRule="auto"/>
      </w:pPr>
      <w:r>
        <w:rPr>
          <w:u w:val="single"/>
        </w:rPr>
        <w:lastRenderedPageBreak/>
        <w:t>Document</w:t>
      </w:r>
      <w:r w:rsidR="00F71668">
        <w:t xml:space="preserve"> –</w:t>
      </w:r>
      <w:r>
        <w:t xml:space="preserve"> Information is drawn from up to four different documents throughout the case, as well as from the </w:t>
      </w:r>
      <w:r w:rsidR="00B22956">
        <w:t xml:space="preserve">publicly available </w:t>
      </w:r>
      <w:r>
        <w:t>Annual Reports/15 Years of the Inspection Panel Report</w:t>
      </w:r>
      <w:r w:rsidR="00B22956">
        <w:t xml:space="preserve">. </w:t>
      </w:r>
      <w:r w:rsidR="0060292E">
        <w:t>These can be used in conjunction with relevant policies in the columns that follow to see which documents mention which policies and how policies progress through the Investigation</w:t>
      </w:r>
      <w:r>
        <w:t>:</w:t>
      </w:r>
    </w:p>
    <w:p w:rsidR="00A35ED4" w:rsidP="00A35ED4" w:rsidRDefault="00A35ED4" w14:paraId="5CFA10A5" w14:textId="77777777">
      <w:pPr>
        <w:pStyle w:val="ListParagraph"/>
        <w:numPr>
          <w:ilvl w:val="0"/>
          <w:numId w:val="28"/>
        </w:numPr>
        <w:spacing w:line="276" w:lineRule="auto"/>
      </w:pPr>
      <w:r>
        <w:t>Request – the letter sent by the person or people making the complaint.</w:t>
      </w:r>
    </w:p>
    <w:p w:rsidR="00A35ED4" w:rsidP="00A35ED4" w:rsidRDefault="00A35ED4" w14:paraId="5794281B" w14:textId="19286F5B">
      <w:pPr>
        <w:pStyle w:val="ListParagraph"/>
        <w:numPr>
          <w:ilvl w:val="0"/>
          <w:numId w:val="28"/>
        </w:numPr>
        <w:spacing w:line="276" w:lineRule="auto"/>
      </w:pPr>
      <w:r>
        <w:t xml:space="preserve">Notice of Registration, etc. – Notice of Registration/Non-Registration or </w:t>
      </w:r>
      <w:r w:rsidR="0060292E">
        <w:t>Summary of Decision not to Register</w:t>
      </w:r>
      <w:r>
        <w:t xml:space="preserve"> i</w:t>
      </w:r>
      <w:r w:rsidR="0060292E">
        <w:t xml:space="preserve">ndicating whether the case was </w:t>
      </w:r>
      <w:r>
        <w:t>progressed for eligibility assessment.</w:t>
      </w:r>
    </w:p>
    <w:p w:rsidR="00A35ED4" w:rsidP="00A35ED4" w:rsidRDefault="00A35ED4" w14:paraId="07728634" w14:textId="4793452B">
      <w:pPr>
        <w:pStyle w:val="ListParagraph"/>
        <w:numPr>
          <w:ilvl w:val="0"/>
          <w:numId w:val="28"/>
        </w:numPr>
        <w:spacing w:line="276" w:lineRule="auto"/>
      </w:pPr>
      <w:r>
        <w:t xml:space="preserve">Eligibility Assessment Report – </w:t>
      </w:r>
      <w:r w:rsidR="0060292E">
        <w:t>Report determining whether the Request was eligible for Investigation.</w:t>
      </w:r>
    </w:p>
    <w:p w:rsidR="0060292E" w:rsidP="0060292E" w:rsidRDefault="0060292E" w14:paraId="2656AF99" w14:textId="5C8D175B">
      <w:pPr>
        <w:pStyle w:val="ListParagraph"/>
        <w:numPr>
          <w:ilvl w:val="0"/>
          <w:numId w:val="28"/>
        </w:numPr>
        <w:spacing w:line="276" w:lineRule="auto"/>
      </w:pPr>
      <w:r>
        <w:t>Investigation Report – Report of the IP to determine whether the WB adversely affected people through non-compliance with its own policies.</w:t>
      </w:r>
    </w:p>
    <w:p w:rsidR="0060292E" w:rsidP="0060292E" w:rsidRDefault="0060292E" w14:paraId="27730E34" w14:textId="77777777">
      <w:pPr>
        <w:spacing w:line="276" w:lineRule="auto"/>
      </w:pPr>
    </w:p>
    <w:p w:rsidR="0060292E" w:rsidP="0060292E" w:rsidRDefault="00FA1137" w14:paraId="2B149175" w14:textId="03A132ED">
      <w:pPr>
        <w:spacing w:line="276" w:lineRule="auto"/>
      </w:pPr>
      <w:r>
        <w:rPr>
          <w:u w:val="single"/>
        </w:rPr>
        <w:t xml:space="preserve">Operational </w:t>
      </w:r>
      <w:r w:rsidR="0060292E">
        <w:rPr>
          <w:u w:val="single"/>
        </w:rPr>
        <w:t>Policies</w:t>
      </w:r>
      <w:r w:rsidR="00F71668">
        <w:t xml:space="preserve"> –</w:t>
      </w:r>
      <w:r w:rsidR="0060292E">
        <w:t xml:space="preserve"> This amalgamation of columns has all the policies that have </w:t>
      </w:r>
      <w:r w:rsidR="006C0782">
        <w:t>appeared in case documents and/or the Annual Reports</w:t>
      </w:r>
      <w:r w:rsidR="0060292E">
        <w:t xml:space="preserve"> since the beginning of the IP. </w:t>
      </w:r>
      <w:r w:rsidR="006C0782">
        <w:t xml:space="preserve">Each policy has its own column denoting the policy number, the type of policy (OP, BP, OD, OMS), and the full name of the policy. </w:t>
      </w:r>
      <w:r w:rsidR="0060292E">
        <w:t xml:space="preserve">Policy numbers have changed over the </w:t>
      </w:r>
      <w:r w:rsidR="000305F2">
        <w:t>years,</w:t>
      </w:r>
      <w:r w:rsidR="0060292E">
        <w:t xml:space="preserve"> but the numbers refer to the most recent </w:t>
      </w:r>
      <w:r w:rsidR="00333C06">
        <w:t>one in use</w:t>
      </w:r>
      <w:r w:rsidR="0060292E">
        <w:t xml:space="preserve"> at the time of publication.</w:t>
      </w:r>
      <w:r w:rsidR="00A27A80">
        <w:t xml:space="preserve"> </w:t>
      </w:r>
      <w:r w:rsidR="00895524">
        <w:t>The first column under ‘Policies’ is titled ‘Not Specified’ and is to denote some cases where no policies have been mentioned</w:t>
      </w:r>
      <w:r w:rsidR="005A5EB8">
        <w:t xml:space="preserve"> by name</w:t>
      </w:r>
      <w:r w:rsidR="000B6BA6">
        <w:t xml:space="preserve"> and with reference to whether they have/have not been </w:t>
      </w:r>
      <w:r w:rsidR="00411119">
        <w:t>violated</w:t>
      </w:r>
      <w:r w:rsidR="000B6BA6">
        <w:t xml:space="preserve"> (rather than whether or not </w:t>
      </w:r>
      <w:r w:rsidR="00411119">
        <w:t xml:space="preserve">a policy was </w:t>
      </w:r>
      <w:r w:rsidR="000B6BA6">
        <w:t>triggered</w:t>
      </w:r>
      <w:r w:rsidR="00373F5F">
        <w:t xml:space="preserve"> in the Project Appraisal </w:t>
      </w:r>
      <w:r w:rsidR="00621382">
        <w:t>phase</w:t>
      </w:r>
      <w:r w:rsidR="000B6BA6">
        <w:t>)</w:t>
      </w:r>
      <w:r w:rsidR="005A5EB8">
        <w:t xml:space="preserve">, </w:t>
      </w:r>
      <w:r w:rsidR="00895524">
        <w:t>anywhere throughout any of the documents.</w:t>
      </w:r>
    </w:p>
    <w:p w:rsidR="008841D0" w:rsidP="0060292E" w:rsidRDefault="008841D0" w14:paraId="0BF1375B" w14:textId="3FE55C06">
      <w:pPr>
        <w:spacing w:line="276" w:lineRule="auto"/>
      </w:pPr>
    </w:p>
    <w:p w:rsidR="008841D0" w:rsidP="0060292E" w:rsidRDefault="008841D0" w14:paraId="5D083456" w14:textId="58E03183">
      <w:pPr>
        <w:spacing w:line="276" w:lineRule="auto"/>
      </w:pPr>
      <w:r>
        <w:t>The policy columns are as follows:</w:t>
      </w:r>
    </w:p>
    <w:p w:rsidRPr="0018243F" w:rsidR="00D41B74" w:rsidP="0060292E" w:rsidRDefault="00D41B74" w14:paraId="5FEFD1C4" w14:textId="21386343">
      <w:pPr>
        <w:spacing w:line="276" w:lineRule="auto"/>
      </w:pPr>
    </w:p>
    <w:p w:rsidRPr="00CD6BA6" w:rsidR="0018243F" w:rsidP="0018243F" w:rsidRDefault="0018243F" w14:paraId="6649A28D" w14:textId="2A892DFC">
      <w:pPr>
        <w:rPr>
          <w:rFonts w:eastAsia="Times New Roman" w:cs="Calibri"/>
          <w:color w:val="000000"/>
          <w:lang w:eastAsia="en-AU"/>
        </w:rPr>
      </w:pPr>
      <w:r w:rsidRPr="004C5757">
        <w:rPr>
          <w:rFonts w:eastAsia="Times New Roman" w:cs="Calibri"/>
          <w:color w:val="000000"/>
          <w:lang w:eastAsia="en-AU"/>
        </w:rPr>
        <w:t>Not Specified</w:t>
      </w:r>
      <w:r w:rsidR="00CD6BA6">
        <w:rPr>
          <w:rFonts w:eastAsia="Times New Roman" w:cs="Calibri"/>
          <w:color w:val="000000"/>
          <w:lang w:eastAsia="en-AU"/>
        </w:rPr>
        <w:t xml:space="preserve"> – refers to a lack of a </w:t>
      </w:r>
      <w:r w:rsidR="00CD6BA6">
        <w:rPr>
          <w:rFonts w:eastAsia="Times New Roman" w:cs="Calibri"/>
          <w:b/>
          <w:color w:val="000000"/>
          <w:lang w:eastAsia="en-AU"/>
        </w:rPr>
        <w:t>clear</w:t>
      </w:r>
      <w:r w:rsidR="008B7FCA">
        <w:rPr>
          <w:rFonts w:eastAsia="Times New Roman" w:cs="Calibri"/>
          <w:b/>
          <w:color w:val="000000"/>
          <w:lang w:eastAsia="en-AU"/>
        </w:rPr>
        <w:t xml:space="preserve"> or </w:t>
      </w:r>
      <w:r w:rsidR="00CD6BA6">
        <w:rPr>
          <w:rFonts w:eastAsia="Times New Roman" w:cs="Calibri"/>
          <w:b/>
          <w:color w:val="000000"/>
          <w:lang w:eastAsia="en-AU"/>
        </w:rPr>
        <w:t xml:space="preserve">by name </w:t>
      </w:r>
      <w:r w:rsidR="00CD6BA6">
        <w:rPr>
          <w:rFonts w:eastAsia="Times New Roman" w:cs="Calibri"/>
          <w:color w:val="000000"/>
          <w:lang w:eastAsia="en-AU"/>
        </w:rPr>
        <w:t xml:space="preserve">specification </w:t>
      </w:r>
      <w:r w:rsidR="00771F65">
        <w:rPr>
          <w:rFonts w:eastAsia="Times New Roman" w:cs="Calibri"/>
          <w:color w:val="000000"/>
          <w:lang w:eastAsia="en-AU"/>
        </w:rPr>
        <w:t>of a</w:t>
      </w:r>
      <w:r w:rsidR="003329C8">
        <w:rPr>
          <w:rFonts w:eastAsia="Times New Roman" w:cs="Calibri"/>
          <w:color w:val="000000"/>
          <w:lang w:eastAsia="en-AU"/>
        </w:rPr>
        <w:t xml:space="preserve"> specific existing </w:t>
      </w:r>
      <w:r w:rsidR="00771F65">
        <w:rPr>
          <w:rFonts w:eastAsia="Times New Roman" w:cs="Calibri"/>
          <w:color w:val="000000"/>
          <w:lang w:eastAsia="en-AU"/>
        </w:rPr>
        <w:t xml:space="preserve">operational policy. </w:t>
      </w:r>
      <w:r w:rsidR="007024FD">
        <w:rPr>
          <w:rFonts w:eastAsia="Times New Roman" w:cs="Calibri"/>
          <w:color w:val="000000"/>
          <w:lang w:eastAsia="en-AU"/>
        </w:rPr>
        <w:t xml:space="preserve">For example, while complainants may raise grievances around their land being expropriated, without a mention of </w:t>
      </w:r>
      <w:r w:rsidR="00EE1FC7">
        <w:rPr>
          <w:rFonts w:eastAsia="Times New Roman" w:cs="Calibri"/>
          <w:color w:val="000000"/>
          <w:lang w:eastAsia="en-AU"/>
        </w:rPr>
        <w:t xml:space="preserve">the World Bank’s violation of its </w:t>
      </w:r>
      <w:r w:rsidR="007024FD">
        <w:rPr>
          <w:rFonts w:eastAsia="Times New Roman" w:cs="Calibri"/>
          <w:color w:val="000000"/>
          <w:lang w:eastAsia="en-AU"/>
        </w:rPr>
        <w:t xml:space="preserve">‘Involuntary Resettlement’ </w:t>
      </w:r>
      <w:r w:rsidR="00A320BB">
        <w:rPr>
          <w:rFonts w:eastAsia="Times New Roman" w:cs="Calibri"/>
          <w:color w:val="000000"/>
          <w:lang w:eastAsia="en-AU"/>
        </w:rPr>
        <w:t xml:space="preserve">policy </w:t>
      </w:r>
      <w:r w:rsidR="007024FD">
        <w:rPr>
          <w:rFonts w:eastAsia="Times New Roman" w:cs="Calibri"/>
          <w:color w:val="000000"/>
          <w:lang w:eastAsia="en-AU"/>
        </w:rPr>
        <w:t xml:space="preserve">the row will be marked ‘not specified’. </w:t>
      </w:r>
    </w:p>
    <w:p w:rsidRPr="0018243F" w:rsidR="0018243F" w:rsidP="0018243F" w:rsidRDefault="0018243F" w14:paraId="31EDF3B5" w14:textId="77777777">
      <w:pPr>
        <w:rPr>
          <w:rFonts w:eastAsia="Times New Roman" w:cs="Calibri"/>
          <w:color w:val="000000"/>
          <w:lang w:eastAsia="en-AU"/>
        </w:rPr>
      </w:pPr>
      <w:r w:rsidRPr="004C5757">
        <w:rPr>
          <w:rFonts w:eastAsia="Times New Roman" w:cs="Calibri"/>
          <w:color w:val="000000"/>
          <w:lang w:eastAsia="en-AU"/>
        </w:rPr>
        <w:t>1.00 (OP) Poverty Reduction</w:t>
      </w:r>
    </w:p>
    <w:p w:rsidRPr="0018243F" w:rsidR="0018243F" w:rsidP="0018243F" w:rsidRDefault="0018243F" w14:paraId="10AB4398" w14:textId="77777777">
      <w:pPr>
        <w:rPr>
          <w:rFonts w:eastAsia="Times New Roman" w:cs="Calibri"/>
          <w:color w:val="000000"/>
          <w:lang w:eastAsia="en-AU"/>
        </w:rPr>
      </w:pPr>
      <w:r w:rsidRPr="004C5757">
        <w:rPr>
          <w:rFonts w:eastAsia="Times New Roman" w:cs="Calibri"/>
          <w:color w:val="000000"/>
          <w:lang w:eastAsia="en-AU"/>
        </w:rPr>
        <w:t>2.20 (OMS) Project Appraisal</w:t>
      </w:r>
    </w:p>
    <w:p w:rsidRPr="0018243F" w:rsidR="0018243F" w:rsidP="0018243F" w:rsidRDefault="0018243F" w14:paraId="154CD3B8" w14:textId="77777777">
      <w:pPr>
        <w:rPr>
          <w:rFonts w:eastAsia="Times New Roman" w:cs="Calibri"/>
          <w:color w:val="000000"/>
          <w:lang w:eastAsia="en-AU"/>
        </w:rPr>
      </w:pPr>
      <w:r w:rsidRPr="004C5757">
        <w:rPr>
          <w:rFonts w:eastAsia="Times New Roman" w:cs="Calibri"/>
          <w:color w:val="000000"/>
          <w:lang w:eastAsia="en-AU"/>
        </w:rPr>
        <w:t>4.00 (OP/BP) Piloting the Use of Borrower Systems to Address Environmental &amp; Social Safeguard Issues in Bank-Supported Projects</w:t>
      </w:r>
    </w:p>
    <w:p w:rsidRPr="0018243F" w:rsidR="0018243F" w:rsidP="0018243F" w:rsidRDefault="0018243F" w14:paraId="3F6307D8" w14:textId="77777777">
      <w:pPr>
        <w:rPr>
          <w:rFonts w:eastAsia="Times New Roman" w:cs="Calibri"/>
          <w:color w:val="000000"/>
          <w:lang w:eastAsia="en-AU"/>
        </w:rPr>
      </w:pPr>
      <w:r w:rsidRPr="004C5757">
        <w:rPr>
          <w:rFonts w:eastAsia="Times New Roman" w:cs="Calibri"/>
          <w:color w:val="000000"/>
          <w:lang w:eastAsia="en-AU"/>
        </w:rPr>
        <w:t>4.00 (OD) Environmental Policy for Dam and Reservoir Projects, Annex B</w:t>
      </w:r>
    </w:p>
    <w:p w:rsidRPr="0018243F" w:rsidR="0018243F" w:rsidP="0018243F" w:rsidRDefault="0018243F" w14:paraId="5530C6AE" w14:textId="77777777">
      <w:pPr>
        <w:rPr>
          <w:rFonts w:eastAsia="Times New Roman" w:cs="Calibri"/>
          <w:color w:val="000000"/>
          <w:lang w:eastAsia="en-AU"/>
        </w:rPr>
      </w:pPr>
      <w:r w:rsidRPr="004C5757">
        <w:rPr>
          <w:rFonts w:eastAsia="Times New Roman" w:cs="Calibri"/>
          <w:color w:val="000000"/>
          <w:lang w:eastAsia="en-AU"/>
        </w:rPr>
        <w:t>4.01 (OP/BP) Environmental Assessment</w:t>
      </w:r>
    </w:p>
    <w:p w:rsidRPr="0018243F" w:rsidR="0018243F" w:rsidP="0018243F" w:rsidRDefault="0018243F" w14:paraId="4B42D98D" w14:textId="77777777">
      <w:pPr>
        <w:rPr>
          <w:rFonts w:eastAsia="Times New Roman" w:cs="Calibri"/>
          <w:color w:val="000000"/>
          <w:lang w:eastAsia="en-AU"/>
        </w:rPr>
      </w:pPr>
      <w:r w:rsidRPr="004C5757">
        <w:rPr>
          <w:rFonts w:eastAsia="Times New Roman" w:cs="Calibri"/>
          <w:color w:val="000000"/>
          <w:lang w:eastAsia="en-AU"/>
        </w:rPr>
        <w:t>4.02 (OP/BP) Environmental Actions Plans</w:t>
      </w:r>
    </w:p>
    <w:p w:rsidRPr="0018243F" w:rsidR="0018243F" w:rsidP="0018243F" w:rsidRDefault="0018243F" w14:paraId="5EA0D5FB" w14:textId="77777777">
      <w:pPr>
        <w:rPr>
          <w:rFonts w:eastAsia="Times New Roman" w:cs="Calibri"/>
          <w:color w:val="000000"/>
          <w:lang w:eastAsia="en-AU"/>
        </w:rPr>
      </w:pPr>
      <w:r w:rsidRPr="004C5757">
        <w:rPr>
          <w:rFonts w:eastAsia="Times New Roman" w:cs="Calibri"/>
          <w:color w:val="000000"/>
          <w:lang w:eastAsia="en-AU"/>
        </w:rPr>
        <w:t>4.04 (OP/BP) Natural Habitats</w:t>
      </w:r>
    </w:p>
    <w:p w:rsidRPr="0018243F" w:rsidR="0018243F" w:rsidP="0018243F" w:rsidRDefault="0018243F" w14:paraId="5B3DDD44" w14:textId="77777777">
      <w:pPr>
        <w:rPr>
          <w:rFonts w:eastAsia="Times New Roman" w:cs="Calibri"/>
          <w:color w:val="000000"/>
          <w:lang w:eastAsia="en-AU"/>
        </w:rPr>
      </w:pPr>
      <w:r w:rsidRPr="004C5757">
        <w:rPr>
          <w:rFonts w:eastAsia="Times New Roman" w:cs="Calibri"/>
          <w:color w:val="000000"/>
          <w:lang w:eastAsia="en-AU"/>
        </w:rPr>
        <w:t>4.07 (OP) Water Resource Management</w:t>
      </w:r>
    </w:p>
    <w:p w:rsidRPr="0018243F" w:rsidR="0018243F" w:rsidP="0018243F" w:rsidRDefault="0018243F" w14:paraId="6F5E66CC" w14:textId="77777777">
      <w:pPr>
        <w:rPr>
          <w:rFonts w:eastAsia="Times New Roman" w:cs="Calibri"/>
          <w:color w:val="000000"/>
          <w:lang w:eastAsia="en-AU"/>
        </w:rPr>
      </w:pPr>
      <w:r w:rsidRPr="004C5757">
        <w:rPr>
          <w:rFonts w:eastAsia="Times New Roman" w:cs="Calibri"/>
          <w:color w:val="000000"/>
          <w:lang w:eastAsia="en-AU"/>
        </w:rPr>
        <w:t>4.09 (OP) Pest Management</w:t>
      </w:r>
    </w:p>
    <w:p w:rsidRPr="0018243F" w:rsidR="0018243F" w:rsidP="0018243F" w:rsidRDefault="0018243F" w14:paraId="139A8BEF" w14:textId="77777777">
      <w:pPr>
        <w:rPr>
          <w:rFonts w:eastAsia="Times New Roman" w:cs="Calibri"/>
          <w:color w:val="000000"/>
          <w:lang w:eastAsia="en-AU"/>
        </w:rPr>
      </w:pPr>
      <w:r w:rsidRPr="004C5757">
        <w:rPr>
          <w:rFonts w:eastAsia="Times New Roman" w:cs="Calibri"/>
          <w:color w:val="000000"/>
          <w:lang w:eastAsia="en-AU"/>
        </w:rPr>
        <w:t>4.10 (OP/BP) Indigenous People</w:t>
      </w:r>
    </w:p>
    <w:p w:rsidRPr="0018243F" w:rsidR="0018243F" w:rsidP="0018243F" w:rsidRDefault="0018243F" w14:paraId="2AF711FD" w14:textId="77777777">
      <w:pPr>
        <w:rPr>
          <w:rFonts w:eastAsia="Times New Roman" w:cs="Calibri"/>
          <w:color w:val="000000"/>
          <w:lang w:eastAsia="en-AU"/>
        </w:rPr>
      </w:pPr>
      <w:r w:rsidRPr="004C5757">
        <w:rPr>
          <w:rFonts w:eastAsia="Times New Roman" w:cs="Calibri"/>
          <w:color w:val="000000"/>
          <w:lang w:eastAsia="en-AU"/>
        </w:rPr>
        <w:t>4.11 (OP/BP) Physical Cultural Resources</w:t>
      </w:r>
    </w:p>
    <w:p w:rsidRPr="0018243F" w:rsidR="0018243F" w:rsidP="0018243F" w:rsidRDefault="0018243F" w14:paraId="6379D94B" w14:textId="77777777">
      <w:pPr>
        <w:rPr>
          <w:rFonts w:eastAsia="Times New Roman" w:cs="Calibri"/>
          <w:color w:val="000000"/>
          <w:lang w:eastAsia="en-AU"/>
        </w:rPr>
      </w:pPr>
      <w:r w:rsidRPr="004C5757">
        <w:rPr>
          <w:rFonts w:eastAsia="Times New Roman" w:cs="Calibri"/>
          <w:color w:val="000000"/>
          <w:lang w:eastAsia="en-AU"/>
        </w:rPr>
        <w:t>4.12 (OP/BP) Involuntary Resettlement</w:t>
      </w:r>
    </w:p>
    <w:p w:rsidRPr="0018243F" w:rsidR="0018243F" w:rsidP="0018243F" w:rsidRDefault="0018243F" w14:paraId="54920FE6" w14:textId="77777777">
      <w:pPr>
        <w:rPr>
          <w:rFonts w:eastAsia="Times New Roman" w:cs="Calibri"/>
          <w:color w:val="000000"/>
          <w:lang w:eastAsia="en-AU"/>
        </w:rPr>
      </w:pPr>
      <w:r w:rsidRPr="004C5757">
        <w:rPr>
          <w:rFonts w:eastAsia="Times New Roman" w:cs="Calibri"/>
          <w:color w:val="000000"/>
          <w:lang w:eastAsia="en-AU"/>
        </w:rPr>
        <w:t>4.20 (OP/BP) Gender and Development</w:t>
      </w:r>
    </w:p>
    <w:p w:rsidRPr="0018243F" w:rsidR="0018243F" w:rsidP="0018243F" w:rsidRDefault="0018243F" w14:paraId="0278DBDA" w14:textId="77777777">
      <w:pPr>
        <w:rPr>
          <w:rFonts w:eastAsia="Times New Roman" w:cs="Calibri"/>
          <w:color w:val="000000"/>
          <w:lang w:eastAsia="en-AU"/>
        </w:rPr>
      </w:pPr>
      <w:r w:rsidRPr="004C5757">
        <w:rPr>
          <w:rFonts w:eastAsia="Times New Roman" w:cs="Calibri"/>
          <w:color w:val="000000"/>
          <w:lang w:eastAsia="en-AU"/>
        </w:rPr>
        <w:t>4.36 (OP/BP) Forests</w:t>
      </w:r>
    </w:p>
    <w:p w:rsidRPr="0018243F" w:rsidR="0018243F" w:rsidP="0018243F" w:rsidRDefault="0018243F" w14:paraId="7196DFE2" w14:textId="77777777">
      <w:pPr>
        <w:rPr>
          <w:rFonts w:eastAsia="Times New Roman" w:cs="Calibri"/>
          <w:color w:val="000000"/>
          <w:lang w:eastAsia="en-AU"/>
        </w:rPr>
      </w:pPr>
      <w:r w:rsidRPr="004C5757">
        <w:rPr>
          <w:rFonts w:eastAsia="Times New Roman" w:cs="Calibri"/>
          <w:color w:val="000000"/>
          <w:lang w:eastAsia="en-AU"/>
        </w:rPr>
        <w:lastRenderedPageBreak/>
        <w:t>4.37 (OP/BP) Safety of Dams</w:t>
      </w:r>
    </w:p>
    <w:p w:rsidRPr="0018243F" w:rsidR="0018243F" w:rsidP="0018243F" w:rsidRDefault="0018243F" w14:paraId="4417C8F4" w14:textId="77777777">
      <w:pPr>
        <w:rPr>
          <w:rFonts w:eastAsia="Times New Roman" w:cs="Calibri"/>
          <w:color w:val="000000"/>
          <w:lang w:eastAsia="en-AU"/>
        </w:rPr>
      </w:pPr>
      <w:r w:rsidRPr="004C5757">
        <w:rPr>
          <w:rFonts w:eastAsia="Times New Roman" w:cs="Calibri"/>
          <w:color w:val="000000"/>
          <w:lang w:eastAsia="en-AU"/>
        </w:rPr>
        <w:t>6.00 (OP/BP) Bank Financing</w:t>
      </w:r>
    </w:p>
    <w:p w:rsidRPr="0018243F" w:rsidR="0018243F" w:rsidP="0018243F" w:rsidRDefault="0018243F" w14:paraId="5F85201D" w14:textId="77777777">
      <w:pPr>
        <w:rPr>
          <w:rFonts w:eastAsia="Times New Roman" w:cs="Calibri"/>
          <w:color w:val="000000"/>
          <w:lang w:eastAsia="en-AU"/>
        </w:rPr>
      </w:pPr>
      <w:r w:rsidRPr="004C5757">
        <w:rPr>
          <w:rFonts w:eastAsia="Times New Roman" w:cs="Calibri"/>
          <w:color w:val="000000"/>
          <w:lang w:eastAsia="en-AU"/>
        </w:rPr>
        <w:t>7.40 (OP/BP) Disputes Over Defaults on External Debt, Expropriation, and Breach of Contract</w:t>
      </w:r>
    </w:p>
    <w:p w:rsidRPr="0018243F" w:rsidR="0018243F" w:rsidP="0018243F" w:rsidRDefault="0018243F" w14:paraId="112DF2D2" w14:textId="77777777">
      <w:pPr>
        <w:rPr>
          <w:rFonts w:eastAsia="Times New Roman" w:cs="Calibri"/>
          <w:color w:val="000000"/>
          <w:lang w:eastAsia="en-AU"/>
        </w:rPr>
      </w:pPr>
      <w:r w:rsidRPr="004C5757">
        <w:rPr>
          <w:rFonts w:eastAsia="Times New Roman" w:cs="Calibri"/>
          <w:color w:val="000000"/>
          <w:lang w:eastAsia="en-AU"/>
        </w:rPr>
        <w:t>7.50 (OP/BP) Project on International Waterways</w:t>
      </w:r>
    </w:p>
    <w:p w:rsidRPr="0018243F" w:rsidR="0018243F" w:rsidP="0018243F" w:rsidRDefault="0018243F" w14:paraId="2AC9268D" w14:textId="77777777">
      <w:pPr>
        <w:rPr>
          <w:rFonts w:eastAsia="Times New Roman" w:cs="Calibri"/>
          <w:color w:val="000000"/>
          <w:lang w:eastAsia="en-AU"/>
        </w:rPr>
      </w:pPr>
      <w:r w:rsidRPr="004C5757">
        <w:rPr>
          <w:rFonts w:eastAsia="Times New Roman" w:cs="Calibri"/>
          <w:color w:val="000000"/>
          <w:lang w:eastAsia="en-AU"/>
        </w:rPr>
        <w:t>7.60 (OP/BP) Projects in Disputed Areas</w:t>
      </w:r>
    </w:p>
    <w:p w:rsidRPr="0018243F" w:rsidR="0018243F" w:rsidP="0018243F" w:rsidRDefault="0018243F" w14:paraId="01D8B4E9" w14:textId="77777777">
      <w:pPr>
        <w:rPr>
          <w:rFonts w:eastAsia="Times New Roman" w:cs="Calibri"/>
          <w:color w:val="000000"/>
          <w:lang w:eastAsia="en-AU"/>
        </w:rPr>
      </w:pPr>
      <w:r w:rsidRPr="004C5757">
        <w:rPr>
          <w:rFonts w:eastAsia="Times New Roman" w:cs="Calibri"/>
          <w:color w:val="000000"/>
          <w:lang w:eastAsia="en-AU"/>
        </w:rPr>
        <w:t>8.00 (OP) Rapid Response to Crises and Emergencies</w:t>
      </w:r>
    </w:p>
    <w:p w:rsidRPr="0018243F" w:rsidR="0018243F" w:rsidP="0018243F" w:rsidRDefault="0018243F" w14:paraId="71A0FF45" w14:textId="77777777">
      <w:pPr>
        <w:rPr>
          <w:rFonts w:eastAsia="Times New Roman" w:cs="Calibri"/>
          <w:color w:val="000000"/>
          <w:lang w:eastAsia="en-AU"/>
        </w:rPr>
      </w:pPr>
      <w:r w:rsidRPr="004C5757">
        <w:rPr>
          <w:rFonts w:eastAsia="Times New Roman" w:cs="Calibri"/>
          <w:color w:val="000000"/>
          <w:lang w:eastAsia="en-AU"/>
        </w:rPr>
        <w:t>8.30 (OP) Financial Intermediary Lending</w:t>
      </w:r>
    </w:p>
    <w:p w:rsidRPr="0018243F" w:rsidR="0018243F" w:rsidP="0018243F" w:rsidRDefault="0018243F" w14:paraId="486DF5DA" w14:textId="77777777">
      <w:pPr>
        <w:rPr>
          <w:rFonts w:eastAsia="Times New Roman" w:cs="Calibri"/>
          <w:color w:val="000000"/>
          <w:lang w:eastAsia="en-AU"/>
        </w:rPr>
      </w:pPr>
      <w:r w:rsidRPr="004C5757">
        <w:rPr>
          <w:rFonts w:eastAsia="Times New Roman" w:cs="Calibri"/>
          <w:color w:val="000000"/>
          <w:lang w:eastAsia="en-AU"/>
        </w:rPr>
        <w:t>8.40 (OP/BP) Technical Assistance</w:t>
      </w:r>
    </w:p>
    <w:p w:rsidRPr="0018243F" w:rsidR="0018243F" w:rsidP="0018243F" w:rsidRDefault="0018243F" w14:paraId="3D7D7972" w14:textId="77777777">
      <w:pPr>
        <w:rPr>
          <w:rFonts w:eastAsia="Times New Roman" w:cs="Calibri"/>
          <w:color w:val="000000"/>
          <w:lang w:eastAsia="en-AU"/>
        </w:rPr>
      </w:pPr>
      <w:r w:rsidRPr="004C5757">
        <w:rPr>
          <w:rFonts w:eastAsia="Times New Roman" w:cs="Calibri"/>
          <w:color w:val="000000"/>
          <w:lang w:eastAsia="en-AU"/>
        </w:rPr>
        <w:t>8.50 (OP) Emergency Recovery Assistance</w:t>
      </w:r>
    </w:p>
    <w:p w:rsidRPr="0018243F" w:rsidR="0018243F" w:rsidP="0018243F" w:rsidRDefault="0018243F" w14:paraId="11A8EEAC" w14:textId="77777777">
      <w:pPr>
        <w:rPr>
          <w:rFonts w:eastAsia="Times New Roman" w:cs="Calibri"/>
          <w:color w:val="000000"/>
          <w:lang w:eastAsia="en-AU"/>
        </w:rPr>
      </w:pPr>
      <w:r w:rsidRPr="004C5757">
        <w:rPr>
          <w:rFonts w:eastAsia="Times New Roman" w:cs="Calibri"/>
          <w:color w:val="000000"/>
          <w:lang w:eastAsia="en-AU"/>
        </w:rPr>
        <w:t>8.60 (OP/BP) Development Policy Financing</w:t>
      </w:r>
    </w:p>
    <w:p w:rsidRPr="0018243F" w:rsidR="0018243F" w:rsidP="0018243F" w:rsidRDefault="0018243F" w14:paraId="18D8F150" w14:textId="77777777">
      <w:pPr>
        <w:rPr>
          <w:rFonts w:eastAsia="Times New Roman" w:cs="Calibri"/>
          <w:color w:val="000000"/>
          <w:lang w:eastAsia="en-AU"/>
        </w:rPr>
      </w:pPr>
      <w:r w:rsidRPr="004C5757">
        <w:rPr>
          <w:rFonts w:eastAsia="Times New Roman" w:cs="Calibri"/>
          <w:color w:val="000000"/>
          <w:lang w:eastAsia="en-AU"/>
        </w:rPr>
        <w:t>10.00 (OP) Investment Project Financing</w:t>
      </w:r>
    </w:p>
    <w:p w:rsidRPr="0018243F" w:rsidR="0018243F" w:rsidP="0018243F" w:rsidRDefault="0018243F" w14:paraId="55AE3FB6" w14:textId="77777777">
      <w:pPr>
        <w:rPr>
          <w:rFonts w:eastAsia="Times New Roman" w:cs="Calibri"/>
          <w:color w:val="000000"/>
          <w:lang w:eastAsia="en-AU"/>
        </w:rPr>
      </w:pPr>
      <w:r w:rsidRPr="004C5757">
        <w:rPr>
          <w:rFonts w:eastAsia="Times New Roman" w:cs="Calibri"/>
          <w:color w:val="000000"/>
          <w:lang w:eastAsia="en-AU"/>
        </w:rPr>
        <w:t>10.02 (OP/BP) Financial Management</w:t>
      </w:r>
    </w:p>
    <w:p w:rsidRPr="0018243F" w:rsidR="0018243F" w:rsidP="0018243F" w:rsidRDefault="0018243F" w14:paraId="18CF050F" w14:textId="77777777">
      <w:pPr>
        <w:rPr>
          <w:rFonts w:eastAsia="Times New Roman" w:cs="Calibri"/>
          <w:color w:val="000000"/>
          <w:lang w:eastAsia="en-AU"/>
        </w:rPr>
      </w:pPr>
      <w:r w:rsidRPr="004C5757">
        <w:rPr>
          <w:rFonts w:eastAsia="Times New Roman" w:cs="Calibri"/>
          <w:color w:val="000000"/>
          <w:lang w:eastAsia="en-AU"/>
        </w:rPr>
        <w:t>10.04 (OP) Economic Evaluation of Investment Operations</w:t>
      </w:r>
    </w:p>
    <w:p w:rsidRPr="0018243F" w:rsidR="0018243F" w:rsidP="0018243F" w:rsidRDefault="0018243F" w14:paraId="5901BF0E" w14:textId="77777777">
      <w:pPr>
        <w:rPr>
          <w:rFonts w:eastAsia="Times New Roman" w:cs="Calibri"/>
          <w:color w:val="000000"/>
          <w:lang w:eastAsia="en-AU"/>
        </w:rPr>
      </w:pPr>
      <w:r w:rsidRPr="004C5757">
        <w:rPr>
          <w:rFonts w:eastAsia="Times New Roman" w:cs="Calibri"/>
          <w:color w:val="000000"/>
          <w:lang w:eastAsia="en-AU"/>
        </w:rPr>
        <w:t>10.60 (OD) Accounting, Financial Reporting, and Auditing</w:t>
      </w:r>
    </w:p>
    <w:p w:rsidRPr="0018243F" w:rsidR="0018243F" w:rsidP="0018243F" w:rsidRDefault="0018243F" w14:paraId="330B552D" w14:textId="77777777">
      <w:pPr>
        <w:rPr>
          <w:rFonts w:eastAsia="Times New Roman" w:cs="Calibri"/>
          <w:color w:val="000000"/>
          <w:lang w:eastAsia="en-AU"/>
        </w:rPr>
      </w:pPr>
      <w:r w:rsidRPr="004C5757">
        <w:rPr>
          <w:rFonts w:eastAsia="Times New Roman" w:cs="Calibri"/>
          <w:color w:val="000000"/>
          <w:lang w:eastAsia="en-AU"/>
        </w:rPr>
        <w:t>11.00 (OP/BP) Procurement</w:t>
      </w:r>
    </w:p>
    <w:p w:rsidRPr="0018243F" w:rsidR="0018243F" w:rsidP="0018243F" w:rsidRDefault="0018243F" w14:paraId="54CF7810" w14:textId="77777777">
      <w:pPr>
        <w:rPr>
          <w:rFonts w:eastAsia="Times New Roman" w:cs="Calibri"/>
          <w:color w:val="000000"/>
          <w:lang w:eastAsia="en-AU"/>
        </w:rPr>
      </w:pPr>
      <w:r w:rsidRPr="004C5757">
        <w:rPr>
          <w:rFonts w:eastAsia="Times New Roman" w:cs="Calibri"/>
          <w:color w:val="000000"/>
          <w:lang w:eastAsia="en-AU"/>
        </w:rPr>
        <w:t>11.10 (OD) Use of Consultants</w:t>
      </w:r>
    </w:p>
    <w:p w:rsidRPr="0018243F" w:rsidR="0018243F" w:rsidP="0018243F" w:rsidRDefault="0018243F" w14:paraId="363DDA0D" w14:textId="77777777">
      <w:pPr>
        <w:rPr>
          <w:rFonts w:eastAsia="Times New Roman" w:cs="Calibri"/>
          <w:color w:val="000000"/>
          <w:lang w:eastAsia="en-AU"/>
        </w:rPr>
      </w:pPr>
      <w:r w:rsidRPr="004C5757">
        <w:rPr>
          <w:rFonts w:eastAsia="Times New Roman" w:cs="Calibri"/>
          <w:color w:val="000000"/>
          <w:lang w:eastAsia="en-AU"/>
        </w:rPr>
        <w:t>12.00 (OP/BP) Disbursement</w:t>
      </w:r>
    </w:p>
    <w:p w:rsidRPr="0018243F" w:rsidR="0018243F" w:rsidP="0018243F" w:rsidRDefault="0018243F" w14:paraId="7DE2EF33" w14:textId="77777777">
      <w:pPr>
        <w:rPr>
          <w:rFonts w:eastAsia="Times New Roman" w:cs="Calibri"/>
          <w:color w:val="000000"/>
          <w:lang w:eastAsia="en-AU"/>
        </w:rPr>
      </w:pPr>
      <w:r w:rsidRPr="004C5757">
        <w:rPr>
          <w:rFonts w:eastAsia="Times New Roman" w:cs="Calibri"/>
          <w:color w:val="000000"/>
          <w:lang w:eastAsia="en-AU"/>
        </w:rPr>
        <w:t>12.10 (OD) Retroactive Financing</w:t>
      </w:r>
    </w:p>
    <w:p w:rsidRPr="0018243F" w:rsidR="0018243F" w:rsidP="0018243F" w:rsidRDefault="0018243F" w14:paraId="05FF6680" w14:textId="77777777">
      <w:pPr>
        <w:rPr>
          <w:rFonts w:eastAsia="Times New Roman" w:cs="Calibri"/>
          <w:color w:val="000000"/>
          <w:lang w:eastAsia="en-AU"/>
        </w:rPr>
      </w:pPr>
      <w:r w:rsidRPr="004C5757">
        <w:rPr>
          <w:rFonts w:eastAsia="Times New Roman" w:cs="Calibri"/>
          <w:color w:val="000000"/>
          <w:lang w:eastAsia="en-AU"/>
        </w:rPr>
        <w:t>13.05 (OP) Project Supervision</w:t>
      </w:r>
    </w:p>
    <w:p w:rsidRPr="0018243F" w:rsidR="0018243F" w:rsidP="0018243F" w:rsidRDefault="0018243F" w14:paraId="320BF06D" w14:textId="77777777">
      <w:pPr>
        <w:rPr>
          <w:rFonts w:eastAsia="Times New Roman" w:cs="Calibri"/>
          <w:color w:val="000000"/>
          <w:lang w:eastAsia="en-AU"/>
        </w:rPr>
      </w:pPr>
      <w:r w:rsidRPr="004C5757">
        <w:rPr>
          <w:rFonts w:eastAsia="Times New Roman" w:cs="Calibri"/>
          <w:color w:val="000000"/>
          <w:lang w:eastAsia="en-AU"/>
        </w:rPr>
        <w:t>13.10 (OD) Borrower Compliance with Audit Covenants</w:t>
      </w:r>
    </w:p>
    <w:p w:rsidRPr="0018243F" w:rsidR="0018243F" w:rsidP="0018243F" w:rsidRDefault="0018243F" w14:paraId="0F135AB8" w14:textId="77777777">
      <w:pPr>
        <w:rPr>
          <w:rFonts w:eastAsia="Times New Roman" w:cs="Calibri"/>
          <w:color w:val="000000"/>
          <w:lang w:eastAsia="en-AU"/>
        </w:rPr>
      </w:pPr>
      <w:r w:rsidRPr="004C5757">
        <w:rPr>
          <w:rFonts w:eastAsia="Times New Roman" w:cs="Calibri"/>
          <w:color w:val="000000"/>
          <w:lang w:eastAsia="en-AU"/>
        </w:rPr>
        <w:t>13.40 (OD) Suspension of Disbursements</w:t>
      </w:r>
    </w:p>
    <w:p w:rsidRPr="0018243F" w:rsidR="0018243F" w:rsidP="0018243F" w:rsidRDefault="0018243F" w14:paraId="748C0581" w14:textId="77777777">
      <w:pPr>
        <w:rPr>
          <w:rFonts w:eastAsia="Times New Roman" w:cs="Calibri"/>
          <w:color w:val="000000"/>
          <w:lang w:eastAsia="en-AU"/>
        </w:rPr>
      </w:pPr>
      <w:r w:rsidRPr="004C5757">
        <w:rPr>
          <w:rFonts w:eastAsia="Times New Roman" w:cs="Calibri"/>
          <w:color w:val="000000"/>
          <w:lang w:eastAsia="en-AU"/>
        </w:rPr>
        <w:t>13.60 (OP) Monitoring and Evaluation</w:t>
      </w:r>
    </w:p>
    <w:p w:rsidRPr="0018243F" w:rsidR="0018243F" w:rsidP="0018243F" w:rsidRDefault="0018243F" w14:paraId="3ABC1CB3" w14:textId="77777777">
      <w:pPr>
        <w:rPr>
          <w:rFonts w:eastAsia="Times New Roman" w:cs="Calibri"/>
          <w:color w:val="000000"/>
          <w:lang w:eastAsia="en-AU"/>
        </w:rPr>
      </w:pPr>
      <w:r w:rsidRPr="004C5757">
        <w:rPr>
          <w:rFonts w:eastAsia="Times New Roman" w:cs="Calibri"/>
          <w:color w:val="000000"/>
          <w:lang w:eastAsia="en-AU"/>
        </w:rPr>
        <w:t>14.40 (OP/BP) Trust Funds</w:t>
      </w:r>
    </w:p>
    <w:p w:rsidRPr="0018243F" w:rsidR="0018243F" w:rsidP="0018243F" w:rsidRDefault="0018243F" w14:paraId="5DA5DC29" w14:textId="77777777">
      <w:pPr>
        <w:rPr>
          <w:rFonts w:eastAsia="Times New Roman" w:cs="Calibri"/>
          <w:color w:val="000000"/>
          <w:lang w:eastAsia="en-AU"/>
        </w:rPr>
      </w:pPr>
      <w:r w:rsidRPr="004C5757">
        <w:rPr>
          <w:rFonts w:eastAsia="Times New Roman" w:cs="Calibri"/>
          <w:color w:val="000000"/>
          <w:lang w:eastAsia="en-AU"/>
        </w:rPr>
        <w:t>14.70 (OD) Involvement of NGOs in Bank-Supported Activities</w:t>
      </w:r>
    </w:p>
    <w:p w:rsidRPr="00BE561F" w:rsidR="0018243F" w:rsidP="0018243F" w:rsidRDefault="0018243F" w14:paraId="3EFC08A1" w14:textId="77777777">
      <w:pPr>
        <w:rPr>
          <w:rFonts w:eastAsia="Times New Roman" w:cs="Calibri"/>
          <w:color w:val="000000"/>
          <w:lang w:val="en-AU" w:eastAsia="en-AU"/>
        </w:rPr>
      </w:pPr>
      <w:r w:rsidRPr="004C5757">
        <w:rPr>
          <w:rFonts w:eastAsia="Times New Roman" w:cs="Calibri"/>
          <w:color w:val="000000"/>
          <w:lang w:eastAsia="en-AU"/>
        </w:rPr>
        <w:t>17.55 (BP) Inspection Panel</w:t>
      </w:r>
    </w:p>
    <w:p w:rsidRPr="0018243F" w:rsidR="0018243F" w:rsidP="0018243F" w:rsidRDefault="0018243F" w14:paraId="65E3EC5E" w14:textId="77777777">
      <w:pPr>
        <w:rPr>
          <w:rFonts w:eastAsia="Times New Roman" w:cs="Calibri"/>
          <w:color w:val="000000"/>
          <w:lang w:eastAsia="en-AU"/>
        </w:rPr>
      </w:pPr>
      <w:r w:rsidRPr="004C5757">
        <w:rPr>
          <w:rFonts w:eastAsia="Times New Roman" w:cs="Calibri"/>
          <w:color w:val="000000"/>
          <w:lang w:eastAsia="en-AU"/>
        </w:rPr>
        <w:t>17.57 (OP) Public Consultation</w:t>
      </w:r>
    </w:p>
    <w:p w:rsidRPr="0018243F" w:rsidR="0018243F" w:rsidP="0018243F" w:rsidRDefault="0018243F" w14:paraId="73EFB0DB" w14:textId="129EBF69">
      <w:pPr>
        <w:rPr>
          <w:rFonts w:eastAsia="Times New Roman" w:cs="Calibri"/>
          <w:color w:val="000000"/>
          <w:lang w:eastAsia="en-AU"/>
        </w:rPr>
      </w:pPr>
      <w:r w:rsidRPr="004C5757">
        <w:rPr>
          <w:rFonts w:eastAsia="Times New Roman" w:cs="Calibri"/>
          <w:color w:val="000000"/>
          <w:lang w:eastAsia="en-AU"/>
        </w:rPr>
        <w:t>Access to Information</w:t>
      </w:r>
      <w:r w:rsidR="00CB3FF9">
        <w:rPr>
          <w:rFonts w:eastAsia="Times New Roman" w:cs="Calibri"/>
          <w:color w:val="000000"/>
          <w:lang w:eastAsia="en-AU"/>
        </w:rPr>
        <w:t xml:space="preserve"> 2010</w:t>
      </w:r>
    </w:p>
    <w:p w:rsidRPr="0018243F" w:rsidR="0018243F" w:rsidP="0018243F" w:rsidRDefault="0018243F" w14:paraId="4D60B22D" w14:textId="3481A214">
      <w:pPr>
        <w:rPr>
          <w:rFonts w:eastAsia="Times New Roman" w:cs="Calibri"/>
          <w:color w:val="000000"/>
          <w:lang w:eastAsia="en-AU"/>
        </w:rPr>
      </w:pPr>
      <w:r w:rsidRPr="004C5757">
        <w:rPr>
          <w:rFonts w:eastAsia="Times New Roman" w:cs="Calibri"/>
          <w:color w:val="000000"/>
          <w:lang w:eastAsia="en-AU"/>
        </w:rPr>
        <w:t>Disclosure of Information</w:t>
      </w:r>
      <w:r w:rsidR="00CB3FF9">
        <w:rPr>
          <w:rFonts w:eastAsia="Times New Roman" w:cs="Calibri"/>
          <w:color w:val="000000"/>
          <w:lang w:eastAsia="en-AU"/>
        </w:rPr>
        <w:t xml:space="preserve"> 2002</w:t>
      </w:r>
    </w:p>
    <w:p w:rsidR="0018243F" w:rsidP="0060292E" w:rsidRDefault="0018243F" w14:paraId="0B44B7BE" w14:textId="60A8B5C4">
      <w:pPr>
        <w:spacing w:line="276" w:lineRule="auto"/>
      </w:pPr>
    </w:p>
    <w:p w:rsidR="00815A05" w:rsidP="0060292E" w:rsidRDefault="002B2CBF" w14:paraId="1DCEA126" w14:textId="2940BF00">
      <w:pPr>
        <w:spacing w:line="276" w:lineRule="auto"/>
      </w:pPr>
      <w:r w:rsidRPr="00FB5A0B">
        <w:t xml:space="preserve">*Note that as of </w:t>
      </w:r>
      <w:r w:rsidRPr="00FB5A0B" w:rsidR="006C28DB">
        <w:t xml:space="preserve">October </w:t>
      </w:r>
      <w:r w:rsidRPr="00FB5A0B" w:rsidR="009561FF">
        <w:t>2018 the World Bank has adopted a new Environmental and Social Standards (ESS) framework</w:t>
      </w:r>
      <w:r w:rsidRPr="00FB5A0B" w:rsidR="004974FA">
        <w:t xml:space="preserve">, so complaints may occasionally </w:t>
      </w:r>
      <w:r w:rsidRPr="00FB5A0B" w:rsidR="001369D6">
        <w:t>refer to its policies</w:t>
      </w:r>
      <w:r w:rsidRPr="00FB5A0B" w:rsidR="00815A05">
        <w:t xml:space="preserve"> when describing which policies have been violated.</w:t>
      </w:r>
      <w:r w:rsidRPr="00FB5A0B" w:rsidR="00C15E3F">
        <w:t xml:space="preserve"> They follow an ESS1-10 </w:t>
      </w:r>
      <w:r w:rsidRPr="00FB5A0B" w:rsidR="00DB3FD9">
        <w:t>format, rather than the format above.</w:t>
      </w:r>
      <w:r w:rsidRPr="00FB5A0B" w:rsidR="00815A05">
        <w:t xml:space="preserve"> </w:t>
      </w:r>
      <w:r w:rsidRPr="00FB5A0B" w:rsidR="00A5361E">
        <w:t xml:space="preserve">When this occurs, it </w:t>
      </w:r>
      <w:r w:rsidRPr="00FB5A0B" w:rsidR="00B179D3">
        <w:t xml:space="preserve">is </w:t>
      </w:r>
      <w:r w:rsidRPr="00FB5A0B" w:rsidR="00815A05">
        <w:t>noted in the comments section of the spreadsheet</w:t>
      </w:r>
      <w:r w:rsidR="00791763">
        <w:t>.</w:t>
      </w:r>
      <w:r w:rsidR="00A318BE">
        <w:t xml:space="preserve"> </w:t>
      </w:r>
    </w:p>
    <w:p w:rsidR="002B2CBF" w:rsidP="0060292E" w:rsidRDefault="001369D6" w14:paraId="4351F9BE" w14:textId="49BE1F96">
      <w:pPr>
        <w:spacing w:line="276" w:lineRule="auto"/>
      </w:pPr>
      <w:r>
        <w:t xml:space="preserve"> </w:t>
      </w:r>
    </w:p>
    <w:p w:rsidRPr="001756F0" w:rsidR="00BA1841" w:rsidP="0060292E" w:rsidRDefault="00D41B74" w14:paraId="6F95EDD4" w14:textId="5FFD3836">
      <w:pPr>
        <w:spacing w:line="276" w:lineRule="auto"/>
        <w:rPr>
          <w:lang w:val="en-AU"/>
        </w:rPr>
      </w:pPr>
      <w:r>
        <w:t xml:space="preserve">To indicate whether a policy appears in a specific document for a specific case, </w:t>
      </w:r>
      <w:r w:rsidR="00B85DE8">
        <w:t>the following notation has been used for the relevant row</w:t>
      </w:r>
      <w:r w:rsidR="00C72DF6">
        <w:t xml:space="preserve"> (note that when the ‘Not Specified’</w:t>
      </w:r>
      <w:r w:rsidRPr="000305F2" w:rsidR="00C72DF6">
        <w:t xml:space="preserve"> row </w:t>
      </w:r>
      <w:r w:rsidR="00C72DF6">
        <w:t>has been filled out, this means</w:t>
      </w:r>
      <w:r w:rsidRPr="000305F2" w:rsidR="00C72DF6">
        <w:t xml:space="preserve"> either that no </w:t>
      </w:r>
      <w:proofErr w:type="gramStart"/>
      <w:r w:rsidR="00C72DF6">
        <w:t>particular policy</w:t>
      </w:r>
      <w:proofErr w:type="gramEnd"/>
      <w:r w:rsidR="00C72DF6">
        <w:t xml:space="preserve"> was</w:t>
      </w:r>
      <w:r w:rsidRPr="000305F2" w:rsidR="00C72DF6">
        <w:t xml:space="preserve"> listed in the document</w:t>
      </w:r>
      <w:r w:rsidR="00C72DF6">
        <w:t>,</w:t>
      </w:r>
      <w:r w:rsidRPr="000305F2" w:rsidR="00C72DF6">
        <w:t xml:space="preserve"> or that the document was not publicly available)</w:t>
      </w:r>
      <w:r w:rsidRPr="00C72DF6" w:rsidR="00B85DE8">
        <w:t>:</w:t>
      </w:r>
    </w:p>
    <w:p w:rsidRPr="00BA1841" w:rsidR="00BA1841" w:rsidP="00BA1841" w:rsidRDefault="00BA1841" w14:paraId="57D044AD" w14:textId="3AB5A61F">
      <w:pPr>
        <w:spacing w:line="276" w:lineRule="auto"/>
      </w:pPr>
      <w:r w:rsidRPr="00BA1841">
        <w:t>R</w:t>
      </w:r>
      <w:r w:rsidRPr="00BA1841">
        <w:tab/>
      </w:r>
      <w:r w:rsidRPr="00BA1841">
        <w:t xml:space="preserve">= </w:t>
      </w:r>
      <w:r w:rsidR="00D41B74">
        <w:t xml:space="preserve">Policy appears in the </w:t>
      </w:r>
      <w:r w:rsidRPr="00BA1841">
        <w:t>Request</w:t>
      </w:r>
      <w:r w:rsidRPr="00BA1841">
        <w:tab/>
      </w:r>
    </w:p>
    <w:p w:rsidRPr="00BA1841" w:rsidR="00BA1841" w:rsidP="00B85DE8" w:rsidRDefault="00BA1841" w14:paraId="6BE78C71" w14:textId="65B2C5D5">
      <w:pPr>
        <w:spacing w:line="276" w:lineRule="auto"/>
        <w:ind w:left="720" w:hanging="720"/>
      </w:pPr>
      <w:proofErr w:type="spellStart"/>
      <w:proofErr w:type="gramStart"/>
      <w:r w:rsidRPr="00BA1841">
        <w:t>NoR</w:t>
      </w:r>
      <w:proofErr w:type="spellEnd"/>
      <w:r w:rsidRPr="00BA1841">
        <w:t xml:space="preserve">  </w:t>
      </w:r>
      <w:r w:rsidRPr="00BA1841">
        <w:tab/>
      </w:r>
      <w:proofErr w:type="gramEnd"/>
      <w:r w:rsidRPr="00BA1841">
        <w:t xml:space="preserve">= </w:t>
      </w:r>
      <w:r w:rsidR="00D41B74">
        <w:t xml:space="preserve">Policy appears in the </w:t>
      </w:r>
      <w:r w:rsidRPr="00BA1841">
        <w:t>Notice of Registration</w:t>
      </w:r>
      <w:r w:rsidR="00D41B74">
        <w:t>, Notice of Non-Registration, or Summary of Decision not to Register.</w:t>
      </w:r>
      <w:r w:rsidRPr="00BA1841">
        <w:tab/>
      </w:r>
    </w:p>
    <w:p w:rsidRPr="00BA1841" w:rsidR="00BA1841" w:rsidP="00BA1841" w:rsidRDefault="00BA1841" w14:paraId="2D03C4F6" w14:textId="165C5CAA">
      <w:pPr>
        <w:spacing w:line="276" w:lineRule="auto"/>
      </w:pPr>
      <w:proofErr w:type="gramStart"/>
      <w:r w:rsidRPr="00BA1841">
        <w:t xml:space="preserve">EAR  </w:t>
      </w:r>
      <w:r w:rsidRPr="00BA1841">
        <w:tab/>
      </w:r>
      <w:proofErr w:type="gramEnd"/>
      <w:r w:rsidRPr="00BA1841">
        <w:t xml:space="preserve">= </w:t>
      </w:r>
      <w:r w:rsidR="00D41B74">
        <w:t xml:space="preserve">Policy appears in the </w:t>
      </w:r>
      <w:r w:rsidRPr="00BA1841">
        <w:t>Eligibility Assessment Report</w:t>
      </w:r>
      <w:r w:rsidRPr="00BA1841">
        <w:tab/>
      </w:r>
    </w:p>
    <w:p w:rsidRPr="00BA1841" w:rsidR="00BA1841" w:rsidP="00BA1841" w:rsidRDefault="00BA1841" w14:paraId="04A7D93A" w14:textId="2841D134">
      <w:pPr>
        <w:spacing w:line="276" w:lineRule="auto"/>
      </w:pPr>
      <w:r w:rsidRPr="00BA1841">
        <w:rPr>
          <w:rFonts w:ascii="Lucida Grande" w:hAnsi="Lucida Grande" w:cs="Lucida Grande"/>
        </w:rPr>
        <w:t>✓</w:t>
      </w:r>
      <w:r w:rsidRPr="00BA1841">
        <w:t xml:space="preserve">    </w:t>
      </w:r>
      <w:r w:rsidRPr="00BA1841">
        <w:tab/>
      </w:r>
      <w:r w:rsidRPr="00BA1841">
        <w:t xml:space="preserve">= </w:t>
      </w:r>
      <w:r w:rsidR="00D41B74">
        <w:t>Policy appears in the Investigation Report and was found compliant.</w:t>
      </w:r>
    </w:p>
    <w:p w:rsidRPr="00BA1841" w:rsidR="00BA1841" w:rsidP="00BA1841" w:rsidRDefault="00BA1841" w14:paraId="364540F7" w14:textId="35219C35">
      <w:pPr>
        <w:spacing w:line="276" w:lineRule="auto"/>
      </w:pPr>
      <w:r w:rsidRPr="00BA1841">
        <w:t xml:space="preserve">X       </w:t>
      </w:r>
      <w:r w:rsidRPr="00BA1841">
        <w:tab/>
      </w:r>
      <w:r w:rsidRPr="00BA1841">
        <w:t xml:space="preserve">= </w:t>
      </w:r>
      <w:r w:rsidR="00D41B74">
        <w:t>Policy appears in the Investigation Report and was found non-compliant.</w:t>
      </w:r>
      <w:r w:rsidRPr="00BA1841">
        <w:tab/>
      </w:r>
    </w:p>
    <w:p w:rsidRPr="00BA1841" w:rsidR="00BA1841" w:rsidP="00B85DE8" w:rsidRDefault="00BA1841" w14:paraId="19DA14BB" w14:textId="1FEFB32A">
      <w:pPr>
        <w:spacing w:line="276" w:lineRule="auto"/>
        <w:ind w:left="720" w:hanging="720"/>
      </w:pPr>
      <w:r w:rsidRPr="00BA1841">
        <w:rPr>
          <w:rFonts w:ascii="Lucida Grande" w:hAnsi="Lucida Grande" w:cs="Lucida Grande"/>
        </w:rPr>
        <w:lastRenderedPageBreak/>
        <w:t>✓</w:t>
      </w:r>
      <w:r w:rsidRPr="00BA1841">
        <w:t xml:space="preserve">/X </w:t>
      </w:r>
      <w:r w:rsidRPr="00BA1841">
        <w:tab/>
      </w:r>
      <w:r w:rsidRPr="00BA1841">
        <w:t xml:space="preserve">= </w:t>
      </w:r>
      <w:r w:rsidR="00D41B74">
        <w:t>Policy appears in the Investigation Report with findings of both compliance and non-compliance.</w:t>
      </w:r>
    </w:p>
    <w:p w:rsidRPr="00BA1841" w:rsidR="00BA1841" w:rsidP="00B85DE8" w:rsidRDefault="00BA1841" w14:paraId="5E5A0AF8" w14:textId="1FBA8876">
      <w:pPr>
        <w:spacing w:line="276" w:lineRule="auto"/>
        <w:ind w:left="720" w:hanging="720"/>
      </w:pPr>
      <w:r w:rsidRPr="00BA1841">
        <w:t xml:space="preserve">IR     </w:t>
      </w:r>
      <w:r w:rsidRPr="00BA1841">
        <w:tab/>
      </w:r>
      <w:r w:rsidRPr="00BA1841">
        <w:t xml:space="preserve">= Policy </w:t>
      </w:r>
      <w:r w:rsidR="00B85DE8">
        <w:t>appears</w:t>
      </w:r>
      <w:r w:rsidRPr="00BA1841">
        <w:t xml:space="preserve"> in the Investigation Report but no explici</w:t>
      </w:r>
      <w:r w:rsidR="00895524">
        <w:t>t findings on compliance or non-</w:t>
      </w:r>
      <w:r w:rsidRPr="00BA1841">
        <w:t>compliance</w:t>
      </w:r>
      <w:r w:rsidR="00200F24">
        <w:t>.</w:t>
      </w:r>
    </w:p>
    <w:p w:rsidR="00B85DE8" w:rsidP="001756F0" w:rsidRDefault="00BA1841" w14:paraId="65FE2480" w14:textId="292F8B47">
      <w:pPr>
        <w:spacing w:line="276" w:lineRule="auto"/>
        <w:ind w:left="720" w:hanging="720"/>
        <w:rPr>
          <w:lang w:val="en-AU"/>
        </w:rPr>
      </w:pPr>
      <w:r w:rsidRPr="00BA1841">
        <w:t>15</w:t>
      </w:r>
      <w:proofErr w:type="gramStart"/>
      <w:r w:rsidRPr="00BA1841">
        <w:t xml:space="preserve">Y  </w:t>
      </w:r>
      <w:r w:rsidRPr="00BA1841">
        <w:tab/>
      </w:r>
      <w:proofErr w:type="gramEnd"/>
      <w:r w:rsidRPr="00BA1841">
        <w:t xml:space="preserve">= </w:t>
      </w:r>
      <w:r w:rsidR="00B85DE8">
        <w:t xml:space="preserve">Policy appears in the </w:t>
      </w:r>
      <w:r w:rsidRPr="00BA1841">
        <w:t>15 Years of Inspection Panel Report o</w:t>
      </w:r>
      <w:r w:rsidR="00B85DE8">
        <w:t>r Annual Report.</w:t>
      </w:r>
      <w:r w:rsidR="001756F0">
        <w:t xml:space="preserve"> (</w:t>
      </w:r>
      <w:r w:rsidR="001756F0">
        <w:rPr>
          <w:lang w:val="en-AU"/>
        </w:rPr>
        <w:t>From Case 95 onwards, the Annual Report does not list which specific policies are covered in each case.)</w:t>
      </w:r>
    </w:p>
    <w:p w:rsidR="001756F0" w:rsidP="001756F0" w:rsidRDefault="001756F0" w14:paraId="5B1F2F8A" w14:textId="77777777">
      <w:pPr>
        <w:spacing w:line="276" w:lineRule="auto"/>
        <w:ind w:left="720" w:hanging="720"/>
        <w:rPr>
          <w:lang w:val="en-AU"/>
        </w:rPr>
      </w:pPr>
    </w:p>
    <w:p w:rsidR="001756F0" w:rsidP="001756F0" w:rsidRDefault="001756F0" w14:paraId="139608C0" w14:textId="078D5CCC">
      <w:pPr>
        <w:spacing w:line="276" w:lineRule="auto"/>
        <w:rPr>
          <w:lang w:val="en-AU"/>
        </w:rPr>
      </w:pPr>
      <w:r>
        <w:rPr>
          <w:lang w:val="en-AU"/>
        </w:rPr>
        <w:t xml:space="preserve">Findings of compliance/partial findings of compliance sometimes have nothing to do with the issues raised in the original </w:t>
      </w:r>
      <w:r w:rsidR="00497837">
        <w:rPr>
          <w:lang w:val="en-AU"/>
        </w:rPr>
        <w:t>Request</w:t>
      </w:r>
      <w:r>
        <w:rPr>
          <w:lang w:val="en-AU"/>
        </w:rPr>
        <w:t xml:space="preserve">. For example, in Case 31, the IP has two findings of compliance with OP 4.01 in relation to the classification of the project </w:t>
      </w:r>
      <w:r w:rsidRPr="00AE6F53">
        <w:rPr>
          <w:lang w:val="en-AU"/>
        </w:rPr>
        <w:t xml:space="preserve">as a Category A project </w:t>
      </w:r>
      <w:r>
        <w:rPr>
          <w:lang w:val="en-AU"/>
        </w:rPr>
        <w:t>and</w:t>
      </w:r>
      <w:r w:rsidRPr="00AE6F53">
        <w:rPr>
          <w:lang w:val="en-AU"/>
        </w:rPr>
        <w:t xml:space="preserve"> about the stage in the project cycle </w:t>
      </w:r>
      <w:r>
        <w:rPr>
          <w:lang w:val="en-AU"/>
        </w:rPr>
        <w:t xml:space="preserve">in which </w:t>
      </w:r>
      <w:r w:rsidRPr="00AE6F53">
        <w:rPr>
          <w:lang w:val="en-AU"/>
        </w:rPr>
        <w:t>the E</w:t>
      </w:r>
      <w:r>
        <w:rPr>
          <w:lang w:val="en-AU"/>
        </w:rPr>
        <w:t xml:space="preserve">nvironmental </w:t>
      </w:r>
      <w:r w:rsidRPr="00AE6F53">
        <w:rPr>
          <w:lang w:val="en-AU"/>
        </w:rPr>
        <w:t>A</w:t>
      </w:r>
      <w:r>
        <w:rPr>
          <w:lang w:val="en-AU"/>
        </w:rPr>
        <w:t>ssessment</w:t>
      </w:r>
      <w:r w:rsidRPr="00AE6F53">
        <w:rPr>
          <w:lang w:val="en-AU"/>
        </w:rPr>
        <w:t xml:space="preserve"> was done</w:t>
      </w:r>
      <w:r>
        <w:rPr>
          <w:lang w:val="en-AU"/>
        </w:rPr>
        <w:t xml:space="preserve">. </w:t>
      </w:r>
      <w:r w:rsidR="00BC64E3">
        <w:rPr>
          <w:lang w:val="en-AU"/>
        </w:rPr>
        <w:t>However,</w:t>
      </w:r>
      <w:r>
        <w:rPr>
          <w:lang w:val="en-AU"/>
        </w:rPr>
        <w:t xml:space="preserve"> the Request itself did not say anything about these issues.</w:t>
      </w:r>
      <w:r w:rsidRPr="00AE6F53">
        <w:rPr>
          <w:lang w:val="en-AU"/>
        </w:rPr>
        <w:t xml:space="preserve"> </w:t>
      </w:r>
      <w:r>
        <w:rPr>
          <w:lang w:val="en-AU"/>
        </w:rPr>
        <w:t xml:space="preserve"> This potentially leads to an overinflated number </w:t>
      </w:r>
      <w:r w:rsidR="00945B65">
        <w:rPr>
          <w:lang w:val="en-AU"/>
        </w:rPr>
        <w:t>of findings of compliance</w:t>
      </w:r>
      <w:r w:rsidR="00222692">
        <w:rPr>
          <w:lang w:val="en-AU"/>
        </w:rPr>
        <w:t xml:space="preserve"> and partial compliance.</w:t>
      </w:r>
    </w:p>
    <w:p w:rsidR="00F71668" w:rsidP="0060292E" w:rsidRDefault="00F71668" w14:paraId="3E2ABFEB" w14:textId="77777777">
      <w:pPr>
        <w:spacing w:line="276" w:lineRule="auto"/>
      </w:pPr>
    </w:p>
    <w:p w:rsidR="00F71668" w:rsidP="0060292E" w:rsidRDefault="00F71668" w14:paraId="09116993" w14:textId="3108BCE4">
      <w:pPr>
        <w:spacing w:line="276" w:lineRule="auto"/>
      </w:pPr>
      <w:r>
        <w:rPr>
          <w:u w:val="single"/>
        </w:rPr>
        <w:t>Count</w:t>
      </w:r>
      <w:r w:rsidRPr="00F71668">
        <w:t xml:space="preserve"> –</w:t>
      </w:r>
      <w:r>
        <w:t xml:space="preserve"> The number of policies referred to in the document listed on that row.</w:t>
      </w:r>
    </w:p>
    <w:p w:rsidRPr="00A54F54" w:rsidR="00C63895" w:rsidP="005C6C0D" w:rsidRDefault="00685219" w14:paraId="516DD06C" w14:textId="04D26C8D">
      <w:pPr>
        <w:spacing w:line="276" w:lineRule="auto"/>
      </w:pPr>
      <w:r w:rsidRPr="000072E8">
        <w:rPr>
          <w:u w:val="single"/>
        </w:rPr>
        <w:t>Comments –</w:t>
      </w:r>
      <w:r w:rsidRPr="000072E8" w:rsidR="000072E8">
        <w:t xml:space="preserve"> Additional</w:t>
      </w:r>
      <w:r w:rsidR="000072E8">
        <w:t xml:space="preserve"> information about document discrepancies, cases that have been amalgamated, etc</w:t>
      </w:r>
      <w:r w:rsidR="00222692">
        <w:t>.</w:t>
      </w:r>
    </w:p>
    <w:p w:rsidR="00154DCA" w:rsidP="00BA1841" w:rsidRDefault="00154DCA" w14:paraId="0E7DEAAA" w14:textId="77777777">
      <w:pPr>
        <w:spacing w:line="276" w:lineRule="auto"/>
      </w:pPr>
    </w:p>
    <w:p w:rsidRPr="00BA1841" w:rsidR="00BA1841" w:rsidP="00BA1841" w:rsidRDefault="00154DCA" w14:paraId="27C5CC4F" w14:textId="221E5C9E">
      <w:pPr>
        <w:spacing w:line="276" w:lineRule="auto"/>
      </w:pPr>
      <w:r w:rsidRPr="00154DCA">
        <w:rPr>
          <w:u w:val="single"/>
        </w:rPr>
        <w:t>Colour Code</w:t>
      </w:r>
      <w:r>
        <w:t xml:space="preserve"> - </w:t>
      </w:r>
      <w:r w:rsidR="00BA1841">
        <w:t>The case details in the sheet are colour coded to reflect the status of the case:</w:t>
      </w:r>
    </w:p>
    <w:p w:rsidR="00BA1841" w:rsidP="00BA1841" w:rsidRDefault="00BA1841" w14:paraId="6A3BBA7A" w14:textId="7347116E">
      <w:pPr>
        <w:spacing w:line="276" w:lineRule="auto"/>
      </w:pPr>
      <w:r>
        <w:t>Red background – not registered/closed with no Investigation</w:t>
      </w:r>
    </w:p>
    <w:p w:rsidR="00BA1841" w:rsidP="00BA1841" w:rsidRDefault="00BA1841" w14:paraId="106DDAFA" w14:textId="12339655">
      <w:pPr>
        <w:spacing w:line="276" w:lineRule="auto"/>
      </w:pPr>
      <w:r>
        <w:t>Green background – Investigation underway/completed</w:t>
      </w:r>
    </w:p>
    <w:p w:rsidR="00A54F54" w:rsidP="00BA1841" w:rsidRDefault="00BA1841" w14:paraId="24DC2C9F" w14:textId="61765793">
      <w:pPr>
        <w:spacing w:line="276" w:lineRule="auto"/>
      </w:pPr>
      <w:r w:rsidR="00BA1841">
        <w:rPr/>
        <w:t>Purple background – awaiting determination on eligibility</w:t>
      </w:r>
    </w:p>
    <w:p w:rsidR="488CC01E" w:rsidP="3799C5EC" w:rsidRDefault="488CC01E" w14:paraId="2D700967" w14:textId="6FF07EED">
      <w:pPr>
        <w:pStyle w:val="Normal"/>
        <w:spacing w:line="276" w:lineRule="auto"/>
      </w:pPr>
      <w:r w:rsidR="488CC01E">
        <w:rPr/>
        <w:t xml:space="preserve">Orange background – transferred to dispute resolution </w:t>
      </w:r>
    </w:p>
    <w:p w:rsidR="00BA1841" w:rsidP="00BA1841" w:rsidRDefault="00BA1841" w14:paraId="3A37A021" w14:textId="77777777">
      <w:pPr>
        <w:spacing w:line="276" w:lineRule="auto"/>
      </w:pPr>
    </w:p>
    <w:p w:rsidR="00BA1841" w:rsidP="00BA1841" w:rsidRDefault="00BA1841" w14:paraId="0306EBD5" w14:textId="698B3A54">
      <w:pPr>
        <w:spacing w:line="276" w:lineRule="auto"/>
      </w:pPr>
      <w:r>
        <w:t>The Documents and Policies areas are similarly coded where green demonstrates that the case progressed to that stage and red demonstrating that it did not.</w:t>
      </w:r>
    </w:p>
    <w:p w:rsidR="00BA1841" w:rsidP="00BA1841" w:rsidRDefault="00BA1841" w14:paraId="0D2A3815" w14:textId="77777777">
      <w:pPr>
        <w:spacing w:line="276" w:lineRule="auto"/>
      </w:pPr>
    </w:p>
    <w:p w:rsidRPr="001756F0" w:rsidR="00895524" w:rsidP="00BD33FD" w:rsidRDefault="00BA1841" w14:paraId="746437BF" w14:textId="1FFEE196">
      <w:pPr>
        <w:spacing w:line="276" w:lineRule="auto"/>
        <w:rPr>
          <w:u w:val="single"/>
        </w:rPr>
      </w:pPr>
      <w:r>
        <w:t xml:space="preserve">This colour coding allows the </w:t>
      </w:r>
      <w:r w:rsidR="00467160">
        <w:t>user</w:t>
      </w:r>
      <w:r>
        <w:t xml:space="preserve"> to have a quick visual snapshot of the trend regarding how many cases progress to Investigation over time.</w:t>
      </w:r>
    </w:p>
    <w:p w:rsidR="00895524" w:rsidP="00BD33FD" w:rsidRDefault="00895524" w14:paraId="43BB8FB9" w14:textId="77777777">
      <w:pPr>
        <w:spacing w:line="276" w:lineRule="auto"/>
        <w:rPr>
          <w:b/>
          <w:i/>
        </w:rPr>
      </w:pPr>
    </w:p>
    <w:p w:rsidRPr="002D1B46" w:rsidR="00BD33FD" w:rsidP="00BD33FD" w:rsidRDefault="00BD33FD" w14:paraId="4D508CCE" w14:textId="365CA829">
      <w:pPr>
        <w:spacing w:line="276" w:lineRule="auto"/>
        <w:rPr>
          <w:b/>
          <w:i/>
        </w:rPr>
      </w:pPr>
      <w:r>
        <w:rPr>
          <w:b/>
          <w:i/>
        </w:rPr>
        <w:t>8</w:t>
      </w:r>
      <w:r w:rsidRPr="00C64617">
        <w:rPr>
          <w:b/>
          <w:i/>
        </w:rPr>
        <w:t>.</w:t>
      </w:r>
      <w:r>
        <w:rPr>
          <w:b/>
          <w:i/>
        </w:rPr>
        <w:t>2.</w:t>
      </w:r>
      <w:r w:rsidRPr="00C64617">
        <w:rPr>
          <w:b/>
          <w:i/>
        </w:rPr>
        <w:t xml:space="preserve"> </w:t>
      </w:r>
      <w:r>
        <w:rPr>
          <w:b/>
          <w:i/>
        </w:rPr>
        <w:t>Intended Usage and Functionality</w:t>
      </w:r>
    </w:p>
    <w:p w:rsidR="00195A41" w:rsidP="00AB5472" w:rsidRDefault="00FD6BE0" w14:paraId="24DE7AFE" w14:textId="41578D71">
      <w:pPr>
        <w:spacing w:line="276" w:lineRule="auto"/>
      </w:pPr>
      <w:r>
        <w:t xml:space="preserve">Every column in the spreadsheet can be filtered to select specific criteria the </w:t>
      </w:r>
      <w:r w:rsidR="00467160">
        <w:t>user</w:t>
      </w:r>
      <w:r>
        <w:t xml:space="preserve"> would like to see. </w:t>
      </w:r>
      <w:r w:rsidR="00306E73">
        <w:t xml:space="preserve">Any combination of data can be </w:t>
      </w:r>
      <w:r w:rsidR="000305F2">
        <w:t>selected,</w:t>
      </w:r>
      <w:r w:rsidR="00306E73">
        <w:t xml:space="preserve"> and a</w:t>
      </w:r>
      <w:r>
        <w:t>n updated case count will appear at the bottom</w:t>
      </w:r>
      <w:r w:rsidR="00622720">
        <w:t xml:space="preserve"> of the spreadsheet</w:t>
      </w:r>
      <w:r>
        <w:t xml:space="preserve">. </w:t>
      </w:r>
    </w:p>
    <w:p w:rsidR="00895524" w:rsidP="00A27A80" w:rsidRDefault="00895524" w14:paraId="0D85976F" w14:textId="77777777">
      <w:pPr>
        <w:spacing w:line="276" w:lineRule="auto"/>
        <w:ind w:firstLine="567"/>
        <w:rPr>
          <w:u w:val="single"/>
        </w:rPr>
      </w:pPr>
    </w:p>
    <w:p w:rsidRPr="00895524" w:rsidR="00A27A80" w:rsidP="00895524" w:rsidRDefault="00FD6BE0" w14:paraId="52FCA6D8" w14:textId="39D3E31F">
      <w:pPr>
        <w:spacing w:line="276" w:lineRule="auto"/>
        <w:rPr>
          <w:u w:val="single"/>
        </w:rPr>
      </w:pPr>
      <w:r w:rsidRPr="00A27A80">
        <w:rPr>
          <w:u w:val="single"/>
        </w:rPr>
        <w:t>Examples:</w:t>
      </w:r>
    </w:p>
    <w:p w:rsidRPr="00895524" w:rsidR="00FD6BE0" w:rsidP="009B6EDC" w:rsidRDefault="00FD6BE0" w14:paraId="3354B9AF" w14:textId="7B79EC3D">
      <w:pPr>
        <w:pStyle w:val="ListParagraph"/>
        <w:numPr>
          <w:ilvl w:val="0"/>
          <w:numId w:val="34"/>
        </w:numPr>
        <w:spacing w:line="276" w:lineRule="auto"/>
        <w:ind w:left="993" w:hanging="426"/>
        <w:rPr>
          <w:u w:val="single"/>
        </w:rPr>
      </w:pPr>
      <w:r w:rsidRPr="00A27A80">
        <w:t xml:space="preserve">To see a specific case, select the </w:t>
      </w:r>
      <w:r w:rsidRPr="00A27A80" w:rsidR="00622720">
        <w:t>relevant</w:t>
      </w:r>
      <w:r w:rsidRPr="00A27A80">
        <w:t xml:space="preserve"> number in the ‘Case No.’ column. Note that selecting the name in the ‘Project’ column </w:t>
      </w:r>
      <w:proofErr w:type="gramStart"/>
      <w:r w:rsidRPr="00A27A80" w:rsidR="00195A41">
        <w:t>in order to</w:t>
      </w:r>
      <w:proofErr w:type="gramEnd"/>
      <w:r w:rsidRPr="00A27A80" w:rsidR="00195A41">
        <w:t xml:space="preserve"> see a specific case </w:t>
      </w:r>
      <w:r w:rsidRPr="00A27A80">
        <w:t>instead</w:t>
      </w:r>
      <w:r w:rsidRPr="00A27A80" w:rsidR="00195A41">
        <w:t>,</w:t>
      </w:r>
      <w:r w:rsidRPr="00A27A80">
        <w:t xml:space="preserve"> will</w:t>
      </w:r>
      <w:r w:rsidRPr="00A27A80" w:rsidR="00306E73">
        <w:t xml:space="preserve"> result in limited functional</w:t>
      </w:r>
      <w:r w:rsidR="00306E73">
        <w:t xml:space="preserve"> information being displayed</w:t>
      </w:r>
      <w:r>
        <w:t>.</w:t>
      </w:r>
    </w:p>
    <w:p w:rsidR="00622720" w:rsidP="009B6EDC" w:rsidRDefault="00622720" w14:paraId="2AFD2785" w14:textId="15F3F305">
      <w:pPr>
        <w:pStyle w:val="ListParagraph"/>
        <w:numPr>
          <w:ilvl w:val="0"/>
          <w:numId w:val="29"/>
        </w:numPr>
        <w:spacing w:line="276" w:lineRule="auto"/>
        <w:ind w:left="993" w:hanging="426"/>
      </w:pPr>
      <w:r>
        <w:t>To see all cases from one year</w:t>
      </w:r>
      <w:r w:rsidR="00195A41">
        <w:t xml:space="preserve"> or a range of years</w:t>
      </w:r>
      <w:r w:rsidR="00F8655C">
        <w:t>, make the relevant</w:t>
      </w:r>
      <w:r>
        <w:t xml:space="preserve"> selection</w:t>
      </w:r>
      <w:r w:rsidR="00F8655C">
        <w:t>(s)</w:t>
      </w:r>
      <w:r>
        <w:t xml:space="preserve"> in the ‘Year’ column.</w:t>
      </w:r>
    </w:p>
    <w:p w:rsidR="00622720" w:rsidP="009B6EDC" w:rsidRDefault="00622720" w14:paraId="2AF30DDD" w14:textId="1BD05AF6">
      <w:pPr>
        <w:pStyle w:val="ListParagraph"/>
        <w:numPr>
          <w:ilvl w:val="0"/>
          <w:numId w:val="29"/>
        </w:numPr>
        <w:spacing w:line="276" w:lineRule="auto"/>
        <w:ind w:left="993" w:hanging="426"/>
      </w:pPr>
      <w:r>
        <w:lastRenderedPageBreak/>
        <w:t>To see all cases from one country</w:t>
      </w:r>
      <w:r w:rsidR="00F8655C">
        <w:t xml:space="preserve"> or </w:t>
      </w:r>
      <w:proofErr w:type="gramStart"/>
      <w:r w:rsidR="00F8655C">
        <w:t>a number of</w:t>
      </w:r>
      <w:proofErr w:type="gramEnd"/>
      <w:r w:rsidR="00F8655C">
        <w:t xml:space="preserve"> countries, make the relevant</w:t>
      </w:r>
      <w:r>
        <w:t xml:space="preserve"> selection</w:t>
      </w:r>
      <w:r w:rsidR="00F8655C">
        <w:t>(s)</w:t>
      </w:r>
      <w:r>
        <w:t xml:space="preserve"> in the ‘Country’ column</w:t>
      </w:r>
      <w:r w:rsidR="003C7ADC">
        <w:t>.</w:t>
      </w:r>
    </w:p>
    <w:p w:rsidR="00FD6BE0" w:rsidP="009B6EDC" w:rsidRDefault="00D60DF5" w14:paraId="6A19209C" w14:textId="7CB776CE">
      <w:pPr>
        <w:pStyle w:val="ListParagraph"/>
        <w:numPr>
          <w:ilvl w:val="0"/>
          <w:numId w:val="29"/>
        </w:numPr>
        <w:spacing w:line="276" w:lineRule="auto"/>
        <w:ind w:left="993" w:hanging="426"/>
      </w:pPr>
      <w:r>
        <w:t>To see all cases that have been/are being investigated</w:t>
      </w:r>
      <w:r w:rsidR="00FD6BE0">
        <w:t xml:space="preserve">, select ‘Yes’ in the </w:t>
      </w:r>
      <w:r w:rsidR="0082029B">
        <w:t>‘</w:t>
      </w:r>
      <w:r w:rsidR="00FD6BE0">
        <w:t>Investigation</w:t>
      </w:r>
      <w:r w:rsidR="0082029B">
        <w:t>’</w:t>
      </w:r>
      <w:r w:rsidR="00FD6BE0">
        <w:t xml:space="preserve"> column.</w:t>
      </w:r>
    </w:p>
    <w:p w:rsidR="00FD6BE0" w:rsidP="00622720" w:rsidRDefault="00622720" w14:paraId="3E987F0D" w14:textId="35983F99">
      <w:pPr>
        <w:pStyle w:val="ListParagraph"/>
        <w:numPr>
          <w:ilvl w:val="0"/>
          <w:numId w:val="29"/>
        </w:numPr>
        <w:spacing w:line="276" w:lineRule="auto"/>
        <w:ind w:left="993" w:hanging="426"/>
      </w:pPr>
      <w:r>
        <w:t xml:space="preserve">To see all cases that </w:t>
      </w:r>
      <w:r w:rsidRPr="00622720">
        <w:rPr>
          <w:u w:val="single"/>
        </w:rPr>
        <w:t>didn’t</w:t>
      </w:r>
      <w:r>
        <w:t xml:space="preserve"> go to In</w:t>
      </w:r>
      <w:r w:rsidR="003C2A51">
        <w:t>vestigation because the Requesto</w:t>
      </w:r>
      <w:r>
        <w:t xml:space="preserve">rs had not yet raised the issues with Management, select </w:t>
      </w:r>
      <w:r w:rsidR="00D85B4A">
        <w:t xml:space="preserve">options containing </w:t>
      </w:r>
      <w:r>
        <w:t>‘7’ in the ‘Reason’ column.</w:t>
      </w:r>
      <w:r w:rsidR="00D85B4A">
        <w:t xml:space="preserve"> Note that there may </w:t>
      </w:r>
      <w:r w:rsidR="00467160">
        <w:t>be multiple reasons that a case</w:t>
      </w:r>
      <w:r w:rsidR="00D85B4A">
        <w:t xml:space="preserve"> was stopped, no matter which stage it happened in.</w:t>
      </w:r>
    </w:p>
    <w:p w:rsidRPr="00A93DCD" w:rsidR="00BD33FD" w:rsidP="00AB5472" w:rsidRDefault="00A93DCD" w14:paraId="1BABFA00" w14:textId="272D79D5">
      <w:pPr>
        <w:pStyle w:val="ListParagraph"/>
        <w:numPr>
          <w:ilvl w:val="0"/>
          <w:numId w:val="29"/>
        </w:numPr>
        <w:spacing w:line="276" w:lineRule="auto"/>
        <w:ind w:left="993" w:hanging="426"/>
      </w:pPr>
      <w:r>
        <w:t xml:space="preserve">To see all cases that were not registered because there was </w:t>
      </w:r>
      <w:r>
        <w:rPr>
          <w:lang w:val="en-AU"/>
        </w:rPr>
        <w:t>i</w:t>
      </w:r>
      <w:r w:rsidRPr="00564126">
        <w:rPr>
          <w:lang w:val="en-AU"/>
        </w:rPr>
        <w:t>n</w:t>
      </w:r>
      <w:r>
        <w:rPr>
          <w:lang w:val="en-AU"/>
        </w:rPr>
        <w:t>sufficient evidence of harm/harm was not caused by the Project/</w:t>
      </w:r>
      <w:r w:rsidRPr="00564126">
        <w:rPr>
          <w:lang w:val="en-AU"/>
        </w:rPr>
        <w:t xml:space="preserve">harm </w:t>
      </w:r>
      <w:r>
        <w:rPr>
          <w:lang w:val="en-AU"/>
        </w:rPr>
        <w:t xml:space="preserve">was </w:t>
      </w:r>
      <w:r w:rsidRPr="00564126">
        <w:rPr>
          <w:lang w:val="en-AU"/>
        </w:rPr>
        <w:t xml:space="preserve">not </w:t>
      </w:r>
      <w:r>
        <w:rPr>
          <w:lang w:val="en-AU"/>
        </w:rPr>
        <w:t xml:space="preserve">caused by violation of policies, select ‘Not Registered’ in the ‘Investigation’ column and select </w:t>
      </w:r>
      <w:r w:rsidR="00D85B4A">
        <w:rPr>
          <w:lang w:val="en-AU"/>
        </w:rPr>
        <w:t xml:space="preserve">options containing </w:t>
      </w:r>
      <w:r>
        <w:rPr>
          <w:lang w:val="en-AU"/>
        </w:rPr>
        <w:t xml:space="preserve">‘1’ in the ‘Reason’ column. To see all cases that were registered but determined not eligible for Investigation for the same reason, select ‘No’ in the ‘Investigation’ column and select </w:t>
      </w:r>
      <w:r w:rsidR="00D85B4A">
        <w:rPr>
          <w:lang w:val="en-AU"/>
        </w:rPr>
        <w:t xml:space="preserve">options containing </w:t>
      </w:r>
      <w:r>
        <w:rPr>
          <w:lang w:val="en-AU"/>
        </w:rPr>
        <w:t>‘1’ in the ‘Reason’ column.</w:t>
      </w:r>
    </w:p>
    <w:p w:rsidRPr="00195A41" w:rsidR="00195A41" w:rsidP="00AB5472" w:rsidRDefault="00A93DCD" w14:paraId="6B0DF058" w14:textId="77777777">
      <w:pPr>
        <w:pStyle w:val="ListParagraph"/>
        <w:numPr>
          <w:ilvl w:val="0"/>
          <w:numId w:val="29"/>
        </w:numPr>
        <w:spacing w:line="276" w:lineRule="auto"/>
        <w:ind w:left="993" w:hanging="426"/>
      </w:pPr>
      <w:r>
        <w:rPr>
          <w:lang w:val="en-AU"/>
        </w:rPr>
        <w:t xml:space="preserve">To get a </w:t>
      </w:r>
      <w:r>
        <w:rPr>
          <w:u w:val="single"/>
          <w:lang w:val="en-AU"/>
        </w:rPr>
        <w:t>count</w:t>
      </w:r>
      <w:r>
        <w:rPr>
          <w:lang w:val="en-AU"/>
        </w:rPr>
        <w:t xml:space="preserve"> of all cases that involved the Indigenous Peoples policy, go to that policy’s column and deselect ‘Blanks’ (lea</w:t>
      </w:r>
      <w:r w:rsidR="00195A41">
        <w:rPr>
          <w:lang w:val="en-AU"/>
        </w:rPr>
        <w:t>ving everything else selected).</w:t>
      </w:r>
    </w:p>
    <w:p w:rsidRPr="00195A41" w:rsidR="00195A41" w:rsidP="00AB5472" w:rsidRDefault="00A93DCD" w14:paraId="31C91F44" w14:textId="3E3A30C5">
      <w:pPr>
        <w:pStyle w:val="ListParagraph"/>
        <w:numPr>
          <w:ilvl w:val="0"/>
          <w:numId w:val="29"/>
        </w:numPr>
        <w:spacing w:line="276" w:lineRule="auto"/>
        <w:ind w:left="993" w:hanging="426"/>
      </w:pPr>
      <w:r>
        <w:rPr>
          <w:lang w:val="en-AU"/>
        </w:rPr>
        <w:t>To get a count of all cases that involved the Indigenous Peoples policy in the Request specifically, go to that policy’s column and select ‘R’.</w:t>
      </w:r>
    </w:p>
    <w:p w:rsidRPr="009B6EDC" w:rsidR="009B6EDC" w:rsidP="009B6EDC" w:rsidRDefault="00195A41" w14:paraId="2B3108E5" w14:textId="189F12B6">
      <w:pPr>
        <w:pStyle w:val="ListParagraph"/>
        <w:numPr>
          <w:ilvl w:val="0"/>
          <w:numId w:val="29"/>
        </w:numPr>
        <w:spacing w:line="276" w:lineRule="auto"/>
        <w:ind w:left="993" w:hanging="426"/>
        <w:rPr>
          <w:lang w:val="en-AU"/>
        </w:rPr>
      </w:pPr>
      <w:r>
        <w:rPr>
          <w:lang w:val="en-AU"/>
        </w:rPr>
        <w:t>To get a count of all cases where non-compliance or only partial compliance were found with regards to the Indigenous Peoples policy, go to that policy’s column and select ‘X’ and ‘</w:t>
      </w:r>
      <w:r w:rsidRPr="00195A41">
        <w:rPr>
          <w:rFonts w:ascii="Lucida Grande" w:hAnsi="Lucida Grande" w:cs="Lucida Grande"/>
          <w:lang w:val="en-AU"/>
        </w:rPr>
        <w:t>✓</w:t>
      </w:r>
      <w:r w:rsidRPr="00195A41">
        <w:rPr>
          <w:lang w:val="en-AU"/>
        </w:rPr>
        <w:t>/X</w:t>
      </w:r>
      <w:r>
        <w:rPr>
          <w:lang w:val="en-AU"/>
        </w:rPr>
        <w:t>’.</w:t>
      </w:r>
      <w:r w:rsidR="009B6EDC">
        <w:rPr>
          <w:lang w:val="en-AU"/>
        </w:rPr>
        <w:tab/>
      </w:r>
    </w:p>
    <w:p w:rsidRPr="009B6EDC" w:rsidR="003C1043" w:rsidP="009B6EDC" w:rsidRDefault="00306E73" w14:paraId="5758FA55" w14:textId="4C37219D">
      <w:pPr>
        <w:spacing w:line="276" w:lineRule="auto"/>
        <w:ind w:left="993"/>
        <w:rPr>
          <w:i/>
          <w:lang w:val="en-AU"/>
        </w:rPr>
      </w:pPr>
      <w:r w:rsidRPr="00195A41">
        <w:rPr>
          <w:i/>
          <w:lang w:val="en-AU"/>
        </w:rPr>
        <w:t xml:space="preserve">Note that </w:t>
      </w:r>
      <w:r w:rsidRPr="00195A41" w:rsidR="00195A41">
        <w:rPr>
          <w:i/>
          <w:lang w:val="en-AU"/>
        </w:rPr>
        <w:t>the above three</w:t>
      </w:r>
      <w:r w:rsidRPr="00195A41">
        <w:rPr>
          <w:i/>
          <w:lang w:val="en-AU"/>
        </w:rPr>
        <w:t xml:space="preserve"> options give an accurate count but result in limited functional information being displayed.</w:t>
      </w:r>
      <w:r w:rsidR="00865C65">
        <w:rPr>
          <w:i/>
          <w:lang w:val="en-AU"/>
        </w:rPr>
        <w:t xml:space="preserve"> </w:t>
      </w:r>
      <w:r w:rsidR="000305F2">
        <w:rPr>
          <w:i/>
          <w:lang w:val="en-AU"/>
        </w:rPr>
        <w:t>However,</w:t>
      </w:r>
      <w:r w:rsidR="009B6EDC">
        <w:rPr>
          <w:i/>
          <w:lang w:val="en-AU"/>
        </w:rPr>
        <w:t xml:space="preserve"> if you select any given cell in the first six columns, the information is still there to be seen.</w:t>
      </w:r>
    </w:p>
    <w:p w:rsidR="00467160" w:rsidP="00467160" w:rsidRDefault="00467160" w14:paraId="74525773" w14:textId="77777777">
      <w:pPr>
        <w:spacing w:line="276" w:lineRule="auto"/>
        <w:rPr>
          <w:i/>
          <w:lang w:val="en-AU"/>
        </w:rPr>
      </w:pPr>
    </w:p>
    <w:p w:rsidRPr="0057642D" w:rsidR="00497837" w:rsidP="0057642D" w:rsidRDefault="00467160" w14:paraId="6618F194" w14:textId="4F8335DD">
      <w:pPr>
        <w:spacing w:line="276" w:lineRule="auto"/>
        <w:rPr>
          <w:i/>
        </w:rPr>
      </w:pPr>
      <w:r>
        <w:rPr>
          <w:i/>
        </w:rPr>
        <w:t>There are countless permutations and combinations available to the user; these examples are only designed to give a sample of the functionality.</w:t>
      </w:r>
    </w:p>
    <w:sectPr w:rsidRPr="0057642D" w:rsidR="00497837" w:rsidSect="006204D0">
      <w:pgSz w:w="11900" w:h="16840" w:orient="portrait"/>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5E5" w:rsidP="00C063B1" w:rsidRDefault="002D45E5" w14:paraId="74476222" w14:textId="77777777">
      <w:r>
        <w:separator/>
      </w:r>
    </w:p>
  </w:endnote>
  <w:endnote w:type="continuationSeparator" w:id="0">
    <w:p w:rsidR="002D45E5" w:rsidP="00C063B1" w:rsidRDefault="002D45E5" w14:paraId="3C68D1D1" w14:textId="77777777">
      <w:r>
        <w:continuationSeparator/>
      </w:r>
    </w:p>
  </w:endnote>
  <w:endnote w:type="continuationNotice" w:id="1">
    <w:p w:rsidR="002D45E5" w:rsidRDefault="002D45E5" w14:paraId="495BDB6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5F2" w:rsidP="000305F2" w:rsidRDefault="000305F2" w14:paraId="59F429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5F2" w:rsidP="000305F2" w:rsidRDefault="000305F2" w14:paraId="315A781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3AF" w:rsidP="00C063B1" w:rsidRDefault="00E263AF" w14:paraId="7E762FF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63AF" w:rsidP="000305F2" w:rsidRDefault="00E263AF" w14:paraId="171BB64F" w14:textId="777777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3AF" w:rsidP="0071751D" w:rsidRDefault="00E263AF" w14:paraId="7C688EB4" w14:textId="6CB2BC13">
    <w:pPr>
      <w:pStyle w:val="Footer"/>
      <w:framePr w:wrap="around" w:hAnchor="page" w:vAnchor="text" w:x="10419" w:y="230"/>
      <w:rPr>
        <w:rStyle w:val="PageNumber"/>
      </w:rPr>
    </w:pPr>
    <w:r>
      <w:rPr>
        <w:rStyle w:val="PageNumber"/>
      </w:rPr>
      <w:fldChar w:fldCharType="begin"/>
    </w:r>
    <w:r>
      <w:rPr>
        <w:rStyle w:val="PageNumber"/>
      </w:rPr>
      <w:instrText xml:space="preserve">PAGE  </w:instrText>
    </w:r>
    <w:r>
      <w:rPr>
        <w:rStyle w:val="PageNumber"/>
      </w:rPr>
      <w:fldChar w:fldCharType="separate"/>
    </w:r>
    <w:r w:rsidR="004D7F6C">
      <w:rPr>
        <w:rStyle w:val="PageNumber"/>
        <w:noProof/>
      </w:rPr>
      <w:t>8</w:t>
    </w:r>
    <w:r>
      <w:rPr>
        <w:rStyle w:val="PageNumber"/>
      </w:rPr>
      <w:fldChar w:fldCharType="end"/>
    </w:r>
  </w:p>
  <w:p w:rsidR="00E263AF" w:rsidP="000305F2" w:rsidRDefault="00E263AF" w14:paraId="0283CFCD" w14:textId="77777777">
    <w:pPr>
      <w:pStyle w:val="Footer"/>
      <w:pBdr>
        <w:top w:val="single" w:color="B8CCE4" w:themeColor="accent1" w:themeTint="66" w:sz="24" w:space="0"/>
      </w:pBdr>
      <w:tabs>
        <w:tab w:val="clear" w:pos="8640"/>
        <w:tab w:val="right" w:pos="9072"/>
      </w:tabs>
      <w:ind w:left="-567" w:right="-57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5E5" w:rsidP="00C063B1" w:rsidRDefault="002D45E5" w14:paraId="1577884B" w14:textId="77777777">
      <w:r>
        <w:separator/>
      </w:r>
    </w:p>
  </w:footnote>
  <w:footnote w:type="continuationSeparator" w:id="0">
    <w:p w:rsidR="002D45E5" w:rsidP="00C063B1" w:rsidRDefault="002D45E5" w14:paraId="15A22184" w14:textId="77777777">
      <w:r>
        <w:continuationSeparator/>
      </w:r>
    </w:p>
  </w:footnote>
  <w:footnote w:type="continuationNotice" w:id="1">
    <w:p w:rsidR="002D45E5" w:rsidRDefault="002D45E5" w14:paraId="17675388" w14:textId="77777777"/>
  </w:footnote>
  <w:footnote w:id="2">
    <w:p w:rsidRPr="00F65FF0" w:rsidR="00E263AF" w:rsidRDefault="00E263AF" w14:paraId="3AA10A59" w14:textId="0809A360">
      <w:pPr>
        <w:pStyle w:val="FootnoteText"/>
        <w:rPr>
          <w:lang w:val="en-US"/>
        </w:rPr>
      </w:pPr>
      <w:r>
        <w:rPr>
          <w:rStyle w:val="FootnoteReference"/>
        </w:rPr>
        <w:footnoteRef/>
      </w:r>
      <w:r>
        <w:t xml:space="preserve"> </w:t>
      </w:r>
      <w:r>
        <w:rPr>
          <w:lang w:val="en-US"/>
        </w:rPr>
        <w:t>Efforts have been made to select shades of colours that are easily viewable for users with colour blindness.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5F2" w:rsidP="000305F2" w:rsidRDefault="000305F2" w14:paraId="54F695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3AF" w:rsidP="000305F2" w:rsidRDefault="00E263AF" w14:paraId="6F7E8BA5" w14:textId="77777777">
    <w:pPr>
      <w:pStyle w:val="Header"/>
      <w:pBdr>
        <w:bottom w:val="single" w:color="B8CCE4" w:themeColor="accent1" w:themeTint="66" w:sz="24" w:space="1"/>
      </w:pBdr>
      <w:ind w:left="-567" w:right="-57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70"/>
    <w:multiLevelType w:val="hybridMultilevel"/>
    <w:tmpl w:val="FC20E51E"/>
    <w:lvl w:ilvl="0" w:tplc="6150A9E4">
      <w:start w:val="2008"/>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7A2A5B"/>
    <w:multiLevelType w:val="hybridMultilevel"/>
    <w:tmpl w:val="0B7A8D68"/>
    <w:lvl w:ilvl="0" w:tplc="0A885A92">
      <w:start w:val="2008"/>
      <w:numFmt w:val="bullet"/>
      <w:lvlText w:val="-"/>
      <w:lvlJc w:val="left"/>
      <w:pPr>
        <w:ind w:left="720" w:hanging="360"/>
      </w:pPr>
      <w:rPr>
        <w:rFonts w:hint="default" w:ascii="Cambria" w:hAnsi="Cambria" w:eastAsiaTheme="minorEastAsia" w:cstheme="minorBidi"/>
        <w:u w:val="none"/>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B27051"/>
    <w:multiLevelType w:val="hybridMultilevel"/>
    <w:tmpl w:val="3464510E"/>
    <w:lvl w:ilvl="0" w:tplc="4274F19A">
      <w:start w:val="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3C134AA"/>
    <w:multiLevelType w:val="hybridMultilevel"/>
    <w:tmpl w:val="AE44EAA0"/>
    <w:lvl w:ilvl="0" w:tplc="BF547DCE">
      <w:start w:val="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2E5DFE"/>
    <w:multiLevelType w:val="hybridMultilevel"/>
    <w:tmpl w:val="FFB68CD8"/>
    <w:lvl w:ilvl="0" w:tplc="C086561C">
      <w:start w:val="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6440132"/>
    <w:multiLevelType w:val="hybridMultilevel"/>
    <w:tmpl w:val="F6E2E3DC"/>
    <w:lvl w:ilvl="0" w:tplc="F3324E9A">
      <w:start w:val="5"/>
      <w:numFmt w:val="bullet"/>
      <w:lvlText w:val=""/>
      <w:lvlJc w:val="left"/>
      <w:pPr>
        <w:ind w:left="14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B8B079F"/>
    <w:multiLevelType w:val="hybridMultilevel"/>
    <w:tmpl w:val="34AE52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F27327"/>
    <w:multiLevelType w:val="hybridMultilevel"/>
    <w:tmpl w:val="893C3F2C"/>
    <w:lvl w:ilvl="0" w:tplc="9006A626">
      <w:start w:val="2008"/>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F684417"/>
    <w:multiLevelType w:val="hybridMultilevel"/>
    <w:tmpl w:val="E7E25146"/>
    <w:lvl w:ilvl="0" w:tplc="F3324E9A">
      <w:start w:val="5"/>
      <w:numFmt w:val="bullet"/>
      <w:lvlText w:val=""/>
      <w:lvlJc w:val="left"/>
      <w:pPr>
        <w:ind w:left="200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rPr>
    </w:lvl>
    <w:lvl w:ilvl="8" w:tplc="04090005" w:tentative="1">
      <w:start w:val="1"/>
      <w:numFmt w:val="bullet"/>
      <w:lvlText w:val=""/>
      <w:lvlJc w:val="left"/>
      <w:pPr>
        <w:ind w:left="7047" w:hanging="360"/>
      </w:pPr>
      <w:rPr>
        <w:rFonts w:hint="default" w:ascii="Wingdings" w:hAnsi="Wingdings"/>
      </w:rPr>
    </w:lvl>
  </w:abstractNum>
  <w:abstractNum w:abstractNumId="9" w15:restartNumberingAfterBreak="0">
    <w:nsid w:val="0FF43964"/>
    <w:multiLevelType w:val="hybridMultilevel"/>
    <w:tmpl w:val="C9487F7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10BC3DC6"/>
    <w:multiLevelType w:val="hybridMultilevel"/>
    <w:tmpl w:val="1A7A4166"/>
    <w:lvl w:ilvl="0" w:tplc="04090001">
      <w:start w:val="1"/>
      <w:numFmt w:val="bullet"/>
      <w:lvlText w:val=""/>
      <w:lvlJc w:val="left"/>
      <w:pPr>
        <w:ind w:left="927" w:hanging="360"/>
      </w:pPr>
      <w:rPr>
        <w:rFonts w:hint="default" w:ascii="Symbol" w:hAnsi="Symbol"/>
      </w:rPr>
    </w:lvl>
    <w:lvl w:ilvl="1" w:tplc="04090003" w:tentative="1">
      <w:start w:val="1"/>
      <w:numFmt w:val="bullet"/>
      <w:lvlText w:val="o"/>
      <w:lvlJc w:val="left"/>
      <w:pPr>
        <w:ind w:left="1647" w:hanging="360"/>
      </w:pPr>
      <w:rPr>
        <w:rFonts w:hint="default" w:ascii="Courier New" w:hAnsi="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rPr>
    </w:lvl>
    <w:lvl w:ilvl="8" w:tplc="04090005" w:tentative="1">
      <w:start w:val="1"/>
      <w:numFmt w:val="bullet"/>
      <w:lvlText w:val=""/>
      <w:lvlJc w:val="left"/>
      <w:pPr>
        <w:ind w:left="6687" w:hanging="360"/>
      </w:pPr>
      <w:rPr>
        <w:rFonts w:hint="default" w:ascii="Wingdings" w:hAnsi="Wingdings"/>
      </w:rPr>
    </w:lvl>
  </w:abstractNum>
  <w:abstractNum w:abstractNumId="11" w15:restartNumberingAfterBreak="0">
    <w:nsid w:val="11CE2D04"/>
    <w:multiLevelType w:val="hybridMultilevel"/>
    <w:tmpl w:val="65060CF2"/>
    <w:lvl w:ilvl="0" w:tplc="EC16B4BE">
      <w:start w:val="4"/>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377711"/>
    <w:multiLevelType w:val="hybridMultilevel"/>
    <w:tmpl w:val="35AA257E"/>
    <w:lvl w:ilvl="0" w:tplc="F3324E9A">
      <w:start w:val="5"/>
      <w:numFmt w:val="bullet"/>
      <w:lvlText w:val=""/>
      <w:lvlJc w:val="left"/>
      <w:pPr>
        <w:ind w:left="2433" w:hanging="360"/>
      </w:pPr>
      <w:rPr>
        <w:rFonts w:hint="default" w:ascii="Symbol" w:hAnsi="Symbol"/>
      </w:rPr>
    </w:lvl>
    <w:lvl w:ilvl="1" w:tplc="04090003">
      <w:start w:val="1"/>
      <w:numFmt w:val="bullet"/>
      <w:lvlText w:val="o"/>
      <w:lvlJc w:val="left"/>
      <w:pPr>
        <w:ind w:left="2433" w:hanging="360"/>
      </w:pPr>
      <w:rPr>
        <w:rFonts w:hint="default" w:ascii="Courier New" w:hAnsi="Courier New"/>
      </w:rPr>
    </w:lvl>
    <w:lvl w:ilvl="2" w:tplc="04090005" w:tentative="1">
      <w:start w:val="1"/>
      <w:numFmt w:val="bullet"/>
      <w:lvlText w:val=""/>
      <w:lvlJc w:val="left"/>
      <w:pPr>
        <w:ind w:left="3153" w:hanging="360"/>
      </w:pPr>
      <w:rPr>
        <w:rFonts w:hint="default" w:ascii="Wingdings" w:hAnsi="Wingdings"/>
      </w:rPr>
    </w:lvl>
    <w:lvl w:ilvl="3" w:tplc="04090001" w:tentative="1">
      <w:start w:val="1"/>
      <w:numFmt w:val="bullet"/>
      <w:lvlText w:val=""/>
      <w:lvlJc w:val="left"/>
      <w:pPr>
        <w:ind w:left="3873" w:hanging="360"/>
      </w:pPr>
      <w:rPr>
        <w:rFonts w:hint="default" w:ascii="Symbol" w:hAnsi="Symbol"/>
      </w:rPr>
    </w:lvl>
    <w:lvl w:ilvl="4" w:tplc="04090003" w:tentative="1">
      <w:start w:val="1"/>
      <w:numFmt w:val="bullet"/>
      <w:lvlText w:val="o"/>
      <w:lvlJc w:val="left"/>
      <w:pPr>
        <w:ind w:left="4593" w:hanging="360"/>
      </w:pPr>
      <w:rPr>
        <w:rFonts w:hint="default" w:ascii="Courier New" w:hAnsi="Courier New"/>
      </w:rPr>
    </w:lvl>
    <w:lvl w:ilvl="5" w:tplc="04090005" w:tentative="1">
      <w:start w:val="1"/>
      <w:numFmt w:val="bullet"/>
      <w:lvlText w:val=""/>
      <w:lvlJc w:val="left"/>
      <w:pPr>
        <w:ind w:left="5313" w:hanging="360"/>
      </w:pPr>
      <w:rPr>
        <w:rFonts w:hint="default" w:ascii="Wingdings" w:hAnsi="Wingdings"/>
      </w:rPr>
    </w:lvl>
    <w:lvl w:ilvl="6" w:tplc="04090001" w:tentative="1">
      <w:start w:val="1"/>
      <w:numFmt w:val="bullet"/>
      <w:lvlText w:val=""/>
      <w:lvlJc w:val="left"/>
      <w:pPr>
        <w:ind w:left="6033" w:hanging="360"/>
      </w:pPr>
      <w:rPr>
        <w:rFonts w:hint="default" w:ascii="Symbol" w:hAnsi="Symbol"/>
      </w:rPr>
    </w:lvl>
    <w:lvl w:ilvl="7" w:tplc="04090003" w:tentative="1">
      <w:start w:val="1"/>
      <w:numFmt w:val="bullet"/>
      <w:lvlText w:val="o"/>
      <w:lvlJc w:val="left"/>
      <w:pPr>
        <w:ind w:left="6753" w:hanging="360"/>
      </w:pPr>
      <w:rPr>
        <w:rFonts w:hint="default" w:ascii="Courier New" w:hAnsi="Courier New"/>
      </w:rPr>
    </w:lvl>
    <w:lvl w:ilvl="8" w:tplc="04090005" w:tentative="1">
      <w:start w:val="1"/>
      <w:numFmt w:val="bullet"/>
      <w:lvlText w:val=""/>
      <w:lvlJc w:val="left"/>
      <w:pPr>
        <w:ind w:left="7473" w:hanging="360"/>
      </w:pPr>
      <w:rPr>
        <w:rFonts w:hint="default" w:ascii="Wingdings" w:hAnsi="Wingdings"/>
      </w:rPr>
    </w:lvl>
  </w:abstractNum>
  <w:abstractNum w:abstractNumId="13" w15:restartNumberingAfterBreak="0">
    <w:nsid w:val="16334F84"/>
    <w:multiLevelType w:val="hybridMultilevel"/>
    <w:tmpl w:val="99C4807A"/>
    <w:lvl w:ilvl="0" w:tplc="F3324E9A">
      <w:start w:val="5"/>
      <w:numFmt w:val="bullet"/>
      <w:lvlText w:val=""/>
      <w:lvlJc w:val="left"/>
      <w:pPr>
        <w:ind w:left="14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7B82159"/>
    <w:multiLevelType w:val="hybridMultilevel"/>
    <w:tmpl w:val="C19AE6DE"/>
    <w:lvl w:ilvl="0" w:tplc="6B483E74">
      <w:start w:val="5"/>
      <w:numFmt w:val="bullet"/>
      <w:lvlText w:val="-"/>
      <w:lvlJc w:val="left"/>
      <w:pPr>
        <w:ind w:left="720" w:hanging="360"/>
      </w:pPr>
      <w:rPr>
        <w:rFonts w:hint="default" w:ascii="Cambria" w:hAnsi="Cambria" w:eastAsiaTheme="minorEastAsia" w:cstheme="minorBidi"/>
      </w:rPr>
    </w:lvl>
    <w:lvl w:ilvl="1" w:tplc="F3324E9A">
      <w:start w:val="5"/>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D475614"/>
    <w:multiLevelType w:val="hybridMultilevel"/>
    <w:tmpl w:val="12F806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A136472"/>
    <w:multiLevelType w:val="hybridMultilevel"/>
    <w:tmpl w:val="2290381C"/>
    <w:lvl w:ilvl="0" w:tplc="D3F26166">
      <w:start w:val="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A9A0883"/>
    <w:multiLevelType w:val="hybridMultilevel"/>
    <w:tmpl w:val="CE7C0242"/>
    <w:lvl w:ilvl="0" w:tplc="88DA7CB0">
      <w:start w:val="2008"/>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AD7373A"/>
    <w:multiLevelType w:val="hybridMultilevel"/>
    <w:tmpl w:val="AC744C90"/>
    <w:lvl w:ilvl="0" w:tplc="4BEAB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A7B8A"/>
    <w:multiLevelType w:val="hybridMultilevel"/>
    <w:tmpl w:val="852A1948"/>
    <w:lvl w:ilvl="0" w:tplc="60948902">
      <w:start w:val="1"/>
      <w:numFmt w:val="bullet"/>
      <w:lvlText w:val="-"/>
      <w:lvlJc w:val="left"/>
      <w:pPr>
        <w:ind w:left="720" w:hanging="360"/>
      </w:pPr>
      <w:rPr>
        <w:rFonts w:hint="default" w:ascii="Cambria" w:hAnsi="Cambri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C811ED1"/>
    <w:multiLevelType w:val="hybridMultilevel"/>
    <w:tmpl w:val="9C12DF10"/>
    <w:lvl w:ilvl="0" w:tplc="833877C8">
      <w:start w:val="2008"/>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EC15F77"/>
    <w:multiLevelType w:val="hybridMultilevel"/>
    <w:tmpl w:val="6EB8E838"/>
    <w:lvl w:ilvl="0" w:tplc="4ECC8128">
      <w:start w:val="2008"/>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16812C9"/>
    <w:multiLevelType w:val="hybridMultilevel"/>
    <w:tmpl w:val="523417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1B775F7"/>
    <w:multiLevelType w:val="hybridMultilevel"/>
    <w:tmpl w:val="629EBD94"/>
    <w:lvl w:ilvl="0" w:tplc="D7CE7CC0">
      <w:start w:val="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33251AB"/>
    <w:multiLevelType w:val="hybridMultilevel"/>
    <w:tmpl w:val="00C4D636"/>
    <w:lvl w:ilvl="0" w:tplc="70B2FF8A">
      <w:start w:val="2"/>
      <w:numFmt w:val="decimal"/>
      <w:lvlText w:val="%1.."/>
      <w:lvlJc w:val="left"/>
      <w:pPr>
        <w:ind w:left="1080" w:hanging="720"/>
      </w:pPr>
      <w:rPr>
        <w:rFonts w:hint="default"/>
        <w:b/>
        <w:i/>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34C99"/>
    <w:multiLevelType w:val="hybridMultilevel"/>
    <w:tmpl w:val="EE9C7196"/>
    <w:lvl w:ilvl="0" w:tplc="6B483E74">
      <w:start w:val="5"/>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CF129D3"/>
    <w:multiLevelType w:val="hybridMultilevel"/>
    <w:tmpl w:val="74ECF386"/>
    <w:lvl w:ilvl="0" w:tplc="077220E6">
      <w:start w:val="8"/>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0786E1F"/>
    <w:multiLevelType w:val="hybridMultilevel"/>
    <w:tmpl w:val="90104890"/>
    <w:lvl w:ilvl="0" w:tplc="08CE0E50">
      <w:start w:val="2008"/>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C2F6EBC"/>
    <w:multiLevelType w:val="hybridMultilevel"/>
    <w:tmpl w:val="ADB8EDEC"/>
    <w:lvl w:ilvl="0" w:tplc="25E6369E">
      <w:start w:val="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0B44377"/>
    <w:multiLevelType w:val="hybridMultilevel"/>
    <w:tmpl w:val="399EEB8A"/>
    <w:lvl w:ilvl="0" w:tplc="BB60D050">
      <w:start w:val="2008"/>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D473325"/>
    <w:multiLevelType w:val="hybridMultilevel"/>
    <w:tmpl w:val="C4BE48D2"/>
    <w:lvl w:ilvl="0" w:tplc="F3324E9A">
      <w:start w:val="5"/>
      <w:numFmt w:val="bullet"/>
      <w:lvlText w:val=""/>
      <w:lvlJc w:val="left"/>
      <w:pPr>
        <w:ind w:left="14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E193F2F"/>
    <w:multiLevelType w:val="hybridMultilevel"/>
    <w:tmpl w:val="54188432"/>
    <w:lvl w:ilvl="0" w:tplc="CF92B77A">
      <w:start w:val="6"/>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05F6AA2"/>
    <w:multiLevelType w:val="hybridMultilevel"/>
    <w:tmpl w:val="45540DAC"/>
    <w:lvl w:ilvl="0" w:tplc="F3324E9A">
      <w:start w:val="5"/>
      <w:numFmt w:val="bullet"/>
      <w:lvlText w:val=""/>
      <w:lvlJc w:val="left"/>
      <w:pPr>
        <w:ind w:left="180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62855D84"/>
    <w:multiLevelType w:val="multilevel"/>
    <w:tmpl w:val="F9EC54EE"/>
    <w:lvl w:ilvl="0">
      <w:start w:val="5"/>
      <w:numFmt w:val="bullet"/>
      <w:lvlText w:val="-"/>
      <w:lvlJc w:val="left"/>
      <w:pPr>
        <w:ind w:left="720" w:hanging="360"/>
      </w:pPr>
      <w:rPr>
        <w:rFonts w:hint="default" w:ascii="Cambria" w:hAnsi="Cambria" w:eastAsiaTheme="minorEastAsia" w:cstheme="minorBidi"/>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4" w15:restartNumberingAfterBreak="0">
    <w:nsid w:val="774C5D72"/>
    <w:multiLevelType w:val="hybridMultilevel"/>
    <w:tmpl w:val="2FAA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21923"/>
    <w:multiLevelType w:val="hybridMultilevel"/>
    <w:tmpl w:val="03BE0F1C"/>
    <w:lvl w:ilvl="0" w:tplc="9EDCFB5E">
      <w:start w:val="2008"/>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142038758">
    <w:abstractNumId w:val="6"/>
  </w:num>
  <w:num w:numId="2" w16cid:durableId="751390189">
    <w:abstractNumId w:val="15"/>
  </w:num>
  <w:num w:numId="3" w16cid:durableId="691806423">
    <w:abstractNumId w:val="22"/>
  </w:num>
  <w:num w:numId="4" w16cid:durableId="1350137610">
    <w:abstractNumId w:val="25"/>
  </w:num>
  <w:num w:numId="5" w16cid:durableId="1939172073">
    <w:abstractNumId w:val="33"/>
  </w:num>
  <w:num w:numId="6" w16cid:durableId="954286822">
    <w:abstractNumId w:val="34"/>
  </w:num>
  <w:num w:numId="7" w16cid:durableId="1767537445">
    <w:abstractNumId w:val="18"/>
  </w:num>
  <w:num w:numId="8" w16cid:durableId="839539302">
    <w:abstractNumId w:val="24"/>
  </w:num>
  <w:num w:numId="9" w16cid:durableId="1574272693">
    <w:abstractNumId w:val="26"/>
  </w:num>
  <w:num w:numId="10" w16cid:durableId="21711230">
    <w:abstractNumId w:val="4"/>
  </w:num>
  <w:num w:numId="11" w16cid:durableId="1552229817">
    <w:abstractNumId w:val="2"/>
  </w:num>
  <w:num w:numId="12" w16cid:durableId="1649241314">
    <w:abstractNumId w:val="23"/>
  </w:num>
  <w:num w:numId="13" w16cid:durableId="1044449347">
    <w:abstractNumId w:val="28"/>
  </w:num>
  <w:num w:numId="14" w16cid:durableId="349990765">
    <w:abstractNumId w:val="3"/>
  </w:num>
  <w:num w:numId="15" w16cid:durableId="1416896004">
    <w:abstractNumId w:val="16"/>
  </w:num>
  <w:num w:numId="16" w16cid:durableId="437144136">
    <w:abstractNumId w:val="21"/>
  </w:num>
  <w:num w:numId="17" w16cid:durableId="1676958672">
    <w:abstractNumId w:val="20"/>
  </w:num>
  <w:num w:numId="18" w16cid:durableId="522089190">
    <w:abstractNumId w:val="1"/>
  </w:num>
  <w:num w:numId="19" w16cid:durableId="1091123063">
    <w:abstractNumId w:val="7"/>
  </w:num>
  <w:num w:numId="20" w16cid:durableId="1046951743">
    <w:abstractNumId w:val="0"/>
  </w:num>
  <w:num w:numId="21" w16cid:durableId="1296643962">
    <w:abstractNumId w:val="29"/>
  </w:num>
  <w:num w:numId="22" w16cid:durableId="430047804">
    <w:abstractNumId w:val="35"/>
  </w:num>
  <w:num w:numId="23" w16cid:durableId="1382679085">
    <w:abstractNumId w:val="17"/>
  </w:num>
  <w:num w:numId="24" w16cid:durableId="1702514206">
    <w:abstractNumId w:val="27"/>
  </w:num>
  <w:num w:numId="25" w16cid:durableId="281309853">
    <w:abstractNumId w:val="9"/>
  </w:num>
  <w:num w:numId="26" w16cid:durableId="892353856">
    <w:abstractNumId w:val="14"/>
  </w:num>
  <w:num w:numId="27" w16cid:durableId="1050032336">
    <w:abstractNumId w:val="5"/>
  </w:num>
  <w:num w:numId="28" w16cid:durableId="1728186082">
    <w:abstractNumId w:val="30"/>
  </w:num>
  <w:num w:numId="29" w16cid:durableId="235015162">
    <w:abstractNumId w:val="13"/>
  </w:num>
  <w:num w:numId="30" w16cid:durableId="1542086431">
    <w:abstractNumId w:val="11"/>
  </w:num>
  <w:num w:numId="31" w16cid:durableId="1504515609">
    <w:abstractNumId w:val="8"/>
  </w:num>
  <w:num w:numId="32" w16cid:durableId="356001851">
    <w:abstractNumId w:val="32"/>
  </w:num>
  <w:num w:numId="33" w16cid:durableId="2104763489">
    <w:abstractNumId w:val="12"/>
  </w:num>
  <w:num w:numId="34" w16cid:durableId="400517269">
    <w:abstractNumId w:val="10"/>
  </w:num>
  <w:num w:numId="35" w16cid:durableId="1429815515">
    <w:abstractNumId w:val="31"/>
  </w:num>
  <w:num w:numId="36" w16cid:durableId="1757435094">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B1"/>
    <w:rsid w:val="00000000"/>
    <w:rsid w:val="0000573F"/>
    <w:rsid w:val="000072E8"/>
    <w:rsid w:val="000161AA"/>
    <w:rsid w:val="00017B8A"/>
    <w:rsid w:val="000305F2"/>
    <w:rsid w:val="00033B3A"/>
    <w:rsid w:val="00063149"/>
    <w:rsid w:val="00071757"/>
    <w:rsid w:val="00071CC6"/>
    <w:rsid w:val="0007396A"/>
    <w:rsid w:val="000803AD"/>
    <w:rsid w:val="00081EFD"/>
    <w:rsid w:val="000920C8"/>
    <w:rsid w:val="000967F5"/>
    <w:rsid w:val="000A13AE"/>
    <w:rsid w:val="000B0E32"/>
    <w:rsid w:val="000B6BA6"/>
    <w:rsid w:val="000D2962"/>
    <w:rsid w:val="00101F5C"/>
    <w:rsid w:val="001045BB"/>
    <w:rsid w:val="001075DD"/>
    <w:rsid w:val="00114416"/>
    <w:rsid w:val="001202C9"/>
    <w:rsid w:val="001202E1"/>
    <w:rsid w:val="001369D6"/>
    <w:rsid w:val="00137A15"/>
    <w:rsid w:val="0014689A"/>
    <w:rsid w:val="00147DEC"/>
    <w:rsid w:val="001549AB"/>
    <w:rsid w:val="00154DCA"/>
    <w:rsid w:val="001561E1"/>
    <w:rsid w:val="00170F3A"/>
    <w:rsid w:val="00171A0D"/>
    <w:rsid w:val="00173F98"/>
    <w:rsid w:val="001756F0"/>
    <w:rsid w:val="0018243F"/>
    <w:rsid w:val="001875FB"/>
    <w:rsid w:val="00191F33"/>
    <w:rsid w:val="00195088"/>
    <w:rsid w:val="00195A41"/>
    <w:rsid w:val="001A4DB7"/>
    <w:rsid w:val="001A5791"/>
    <w:rsid w:val="001B3E82"/>
    <w:rsid w:val="001C494E"/>
    <w:rsid w:val="001C79A4"/>
    <w:rsid w:val="001D698C"/>
    <w:rsid w:val="001D7808"/>
    <w:rsid w:val="001E1132"/>
    <w:rsid w:val="001E1E6E"/>
    <w:rsid w:val="001F05E8"/>
    <w:rsid w:val="001F302C"/>
    <w:rsid w:val="001F40D7"/>
    <w:rsid w:val="001F507D"/>
    <w:rsid w:val="00200F24"/>
    <w:rsid w:val="00207B73"/>
    <w:rsid w:val="00211182"/>
    <w:rsid w:val="00214C16"/>
    <w:rsid w:val="00222692"/>
    <w:rsid w:val="00226DBA"/>
    <w:rsid w:val="00233873"/>
    <w:rsid w:val="00234158"/>
    <w:rsid w:val="00243F74"/>
    <w:rsid w:val="00263FF0"/>
    <w:rsid w:val="00282096"/>
    <w:rsid w:val="0028411F"/>
    <w:rsid w:val="00296C37"/>
    <w:rsid w:val="002A0800"/>
    <w:rsid w:val="002A5AC6"/>
    <w:rsid w:val="002B06AC"/>
    <w:rsid w:val="002B2CBF"/>
    <w:rsid w:val="002B656A"/>
    <w:rsid w:val="002C0769"/>
    <w:rsid w:val="002C0ED0"/>
    <w:rsid w:val="002C13AC"/>
    <w:rsid w:val="002D1B46"/>
    <w:rsid w:val="002D45E5"/>
    <w:rsid w:val="002D7D7C"/>
    <w:rsid w:val="002E7EDB"/>
    <w:rsid w:val="003011C4"/>
    <w:rsid w:val="00301D7F"/>
    <w:rsid w:val="00306E73"/>
    <w:rsid w:val="00314EF7"/>
    <w:rsid w:val="00316716"/>
    <w:rsid w:val="00316898"/>
    <w:rsid w:val="00317992"/>
    <w:rsid w:val="00320D4C"/>
    <w:rsid w:val="003212FC"/>
    <w:rsid w:val="00321E6B"/>
    <w:rsid w:val="003329C8"/>
    <w:rsid w:val="00333C06"/>
    <w:rsid w:val="00337D79"/>
    <w:rsid w:val="00337EBC"/>
    <w:rsid w:val="00337F91"/>
    <w:rsid w:val="00347B9A"/>
    <w:rsid w:val="00353529"/>
    <w:rsid w:val="003536F0"/>
    <w:rsid w:val="00364124"/>
    <w:rsid w:val="003673A7"/>
    <w:rsid w:val="00373F5F"/>
    <w:rsid w:val="0039392B"/>
    <w:rsid w:val="003A3A78"/>
    <w:rsid w:val="003A4605"/>
    <w:rsid w:val="003B568F"/>
    <w:rsid w:val="003C1043"/>
    <w:rsid w:val="003C2A51"/>
    <w:rsid w:val="003C7ADC"/>
    <w:rsid w:val="003D1760"/>
    <w:rsid w:val="003E2EF0"/>
    <w:rsid w:val="003E4A8B"/>
    <w:rsid w:val="003F277F"/>
    <w:rsid w:val="004008F2"/>
    <w:rsid w:val="00411119"/>
    <w:rsid w:val="004255B4"/>
    <w:rsid w:val="0044106A"/>
    <w:rsid w:val="0044197E"/>
    <w:rsid w:val="00441B21"/>
    <w:rsid w:val="00467160"/>
    <w:rsid w:val="00472DEA"/>
    <w:rsid w:val="004856A2"/>
    <w:rsid w:val="0048635A"/>
    <w:rsid w:val="00490DB8"/>
    <w:rsid w:val="004974FA"/>
    <w:rsid w:val="00497837"/>
    <w:rsid w:val="004A2075"/>
    <w:rsid w:val="004A3A5C"/>
    <w:rsid w:val="004B5474"/>
    <w:rsid w:val="004B6B8C"/>
    <w:rsid w:val="004C0219"/>
    <w:rsid w:val="004C784A"/>
    <w:rsid w:val="004D4C47"/>
    <w:rsid w:val="004D7F6C"/>
    <w:rsid w:val="004E218C"/>
    <w:rsid w:val="004F24F7"/>
    <w:rsid w:val="00503AF8"/>
    <w:rsid w:val="00505353"/>
    <w:rsid w:val="00522855"/>
    <w:rsid w:val="00542FE6"/>
    <w:rsid w:val="00546F7A"/>
    <w:rsid w:val="00556B70"/>
    <w:rsid w:val="0056400B"/>
    <w:rsid w:val="00564126"/>
    <w:rsid w:val="005668AA"/>
    <w:rsid w:val="00574488"/>
    <w:rsid w:val="00576355"/>
    <w:rsid w:val="0057642D"/>
    <w:rsid w:val="00584A9D"/>
    <w:rsid w:val="005851A6"/>
    <w:rsid w:val="00592FB0"/>
    <w:rsid w:val="00596041"/>
    <w:rsid w:val="005A2250"/>
    <w:rsid w:val="005A5EB8"/>
    <w:rsid w:val="005A783F"/>
    <w:rsid w:val="005C1A59"/>
    <w:rsid w:val="005C69D0"/>
    <w:rsid w:val="005C6C0D"/>
    <w:rsid w:val="005D1E08"/>
    <w:rsid w:val="005D3354"/>
    <w:rsid w:val="005E75BA"/>
    <w:rsid w:val="005F090B"/>
    <w:rsid w:val="005F29BD"/>
    <w:rsid w:val="005F7D5B"/>
    <w:rsid w:val="0060292E"/>
    <w:rsid w:val="00605B4C"/>
    <w:rsid w:val="0060725A"/>
    <w:rsid w:val="0061610D"/>
    <w:rsid w:val="006204D0"/>
    <w:rsid w:val="00621382"/>
    <w:rsid w:val="00622720"/>
    <w:rsid w:val="00625451"/>
    <w:rsid w:val="0062589C"/>
    <w:rsid w:val="00636058"/>
    <w:rsid w:val="0063618F"/>
    <w:rsid w:val="00650A42"/>
    <w:rsid w:val="006542BC"/>
    <w:rsid w:val="00655EF2"/>
    <w:rsid w:val="00667779"/>
    <w:rsid w:val="00684E0A"/>
    <w:rsid w:val="00685219"/>
    <w:rsid w:val="006860B8"/>
    <w:rsid w:val="00690B2D"/>
    <w:rsid w:val="006A196D"/>
    <w:rsid w:val="006A5864"/>
    <w:rsid w:val="006A6859"/>
    <w:rsid w:val="006B4FEC"/>
    <w:rsid w:val="006C0782"/>
    <w:rsid w:val="006C1D8E"/>
    <w:rsid w:val="006C28DB"/>
    <w:rsid w:val="006C3B0A"/>
    <w:rsid w:val="006C45FF"/>
    <w:rsid w:val="006C4809"/>
    <w:rsid w:val="006D0065"/>
    <w:rsid w:val="006D72B1"/>
    <w:rsid w:val="006F09FD"/>
    <w:rsid w:val="006F4581"/>
    <w:rsid w:val="006F50C9"/>
    <w:rsid w:val="006F5929"/>
    <w:rsid w:val="0070122C"/>
    <w:rsid w:val="007024FD"/>
    <w:rsid w:val="0070530A"/>
    <w:rsid w:val="0071243B"/>
    <w:rsid w:val="00713C8B"/>
    <w:rsid w:val="00716BFA"/>
    <w:rsid w:val="0071726D"/>
    <w:rsid w:val="0071751D"/>
    <w:rsid w:val="0073560E"/>
    <w:rsid w:val="00737358"/>
    <w:rsid w:val="007519AC"/>
    <w:rsid w:val="00761ED2"/>
    <w:rsid w:val="00763AF7"/>
    <w:rsid w:val="00764D9F"/>
    <w:rsid w:val="00765B39"/>
    <w:rsid w:val="00771F65"/>
    <w:rsid w:val="007803EA"/>
    <w:rsid w:val="00780BCE"/>
    <w:rsid w:val="00780DD6"/>
    <w:rsid w:val="00787E19"/>
    <w:rsid w:val="00791763"/>
    <w:rsid w:val="007A05F8"/>
    <w:rsid w:val="007A61BA"/>
    <w:rsid w:val="007B4EC1"/>
    <w:rsid w:val="007C147F"/>
    <w:rsid w:val="007C7576"/>
    <w:rsid w:val="007C7A79"/>
    <w:rsid w:val="007D1576"/>
    <w:rsid w:val="007E2CB0"/>
    <w:rsid w:val="007E6CF6"/>
    <w:rsid w:val="007F1E34"/>
    <w:rsid w:val="00803398"/>
    <w:rsid w:val="00806813"/>
    <w:rsid w:val="00815A05"/>
    <w:rsid w:val="008177BC"/>
    <w:rsid w:val="0082029B"/>
    <w:rsid w:val="0083099B"/>
    <w:rsid w:val="00841FF2"/>
    <w:rsid w:val="0084216E"/>
    <w:rsid w:val="00852F13"/>
    <w:rsid w:val="00855DF5"/>
    <w:rsid w:val="00864FF4"/>
    <w:rsid w:val="00865C65"/>
    <w:rsid w:val="0087059B"/>
    <w:rsid w:val="00871E75"/>
    <w:rsid w:val="00873485"/>
    <w:rsid w:val="008841D0"/>
    <w:rsid w:val="00891718"/>
    <w:rsid w:val="00894201"/>
    <w:rsid w:val="00895524"/>
    <w:rsid w:val="008957DF"/>
    <w:rsid w:val="008A0268"/>
    <w:rsid w:val="008B7FCA"/>
    <w:rsid w:val="008C3584"/>
    <w:rsid w:val="008D5175"/>
    <w:rsid w:val="008D6152"/>
    <w:rsid w:val="008E0635"/>
    <w:rsid w:val="008E496F"/>
    <w:rsid w:val="00917FD9"/>
    <w:rsid w:val="00934C04"/>
    <w:rsid w:val="00945B65"/>
    <w:rsid w:val="00947D92"/>
    <w:rsid w:val="00955D46"/>
    <w:rsid w:val="009561FF"/>
    <w:rsid w:val="009718EF"/>
    <w:rsid w:val="00983384"/>
    <w:rsid w:val="00987A75"/>
    <w:rsid w:val="0099068B"/>
    <w:rsid w:val="009A30D9"/>
    <w:rsid w:val="009B0421"/>
    <w:rsid w:val="009B6EDC"/>
    <w:rsid w:val="009D4467"/>
    <w:rsid w:val="009E5A01"/>
    <w:rsid w:val="00A01DF8"/>
    <w:rsid w:val="00A03C0F"/>
    <w:rsid w:val="00A13EBA"/>
    <w:rsid w:val="00A14587"/>
    <w:rsid w:val="00A17C61"/>
    <w:rsid w:val="00A274F1"/>
    <w:rsid w:val="00A27A80"/>
    <w:rsid w:val="00A318BE"/>
    <w:rsid w:val="00A320BB"/>
    <w:rsid w:val="00A35ED4"/>
    <w:rsid w:val="00A362E7"/>
    <w:rsid w:val="00A3701A"/>
    <w:rsid w:val="00A41141"/>
    <w:rsid w:val="00A46A41"/>
    <w:rsid w:val="00A46E0E"/>
    <w:rsid w:val="00A5361E"/>
    <w:rsid w:val="00A54C2C"/>
    <w:rsid w:val="00A54F54"/>
    <w:rsid w:val="00A55742"/>
    <w:rsid w:val="00A559F7"/>
    <w:rsid w:val="00A55E5C"/>
    <w:rsid w:val="00A6061A"/>
    <w:rsid w:val="00A6627C"/>
    <w:rsid w:val="00A66881"/>
    <w:rsid w:val="00A7535B"/>
    <w:rsid w:val="00A759EE"/>
    <w:rsid w:val="00A90933"/>
    <w:rsid w:val="00A93DCD"/>
    <w:rsid w:val="00A97154"/>
    <w:rsid w:val="00AB320D"/>
    <w:rsid w:val="00AB5472"/>
    <w:rsid w:val="00AC00B1"/>
    <w:rsid w:val="00AC19B8"/>
    <w:rsid w:val="00AD0B93"/>
    <w:rsid w:val="00AD5483"/>
    <w:rsid w:val="00AE52CC"/>
    <w:rsid w:val="00AE6F53"/>
    <w:rsid w:val="00AF1DD4"/>
    <w:rsid w:val="00B03192"/>
    <w:rsid w:val="00B04483"/>
    <w:rsid w:val="00B04CC0"/>
    <w:rsid w:val="00B123FA"/>
    <w:rsid w:val="00B148F6"/>
    <w:rsid w:val="00B14CFF"/>
    <w:rsid w:val="00B179D3"/>
    <w:rsid w:val="00B20770"/>
    <w:rsid w:val="00B210C0"/>
    <w:rsid w:val="00B22956"/>
    <w:rsid w:val="00B35F8B"/>
    <w:rsid w:val="00B40FE4"/>
    <w:rsid w:val="00B54143"/>
    <w:rsid w:val="00B54525"/>
    <w:rsid w:val="00B5522F"/>
    <w:rsid w:val="00B56CEC"/>
    <w:rsid w:val="00B647BC"/>
    <w:rsid w:val="00B64A1D"/>
    <w:rsid w:val="00B64C38"/>
    <w:rsid w:val="00B6556A"/>
    <w:rsid w:val="00B751E7"/>
    <w:rsid w:val="00B7577C"/>
    <w:rsid w:val="00B85DE8"/>
    <w:rsid w:val="00BA0765"/>
    <w:rsid w:val="00BA1841"/>
    <w:rsid w:val="00BA7100"/>
    <w:rsid w:val="00BC55A6"/>
    <w:rsid w:val="00BC64E3"/>
    <w:rsid w:val="00BD058C"/>
    <w:rsid w:val="00BD2096"/>
    <w:rsid w:val="00BD33FD"/>
    <w:rsid w:val="00BD5A3F"/>
    <w:rsid w:val="00BE2737"/>
    <w:rsid w:val="00BE415D"/>
    <w:rsid w:val="00BE561F"/>
    <w:rsid w:val="00BE7449"/>
    <w:rsid w:val="00C00A95"/>
    <w:rsid w:val="00C03ABE"/>
    <w:rsid w:val="00C063B1"/>
    <w:rsid w:val="00C06DF4"/>
    <w:rsid w:val="00C07034"/>
    <w:rsid w:val="00C07432"/>
    <w:rsid w:val="00C1157D"/>
    <w:rsid w:val="00C15E3F"/>
    <w:rsid w:val="00C2255B"/>
    <w:rsid w:val="00C367FC"/>
    <w:rsid w:val="00C42FAD"/>
    <w:rsid w:val="00C63895"/>
    <w:rsid w:val="00C64617"/>
    <w:rsid w:val="00C64A5F"/>
    <w:rsid w:val="00C715B1"/>
    <w:rsid w:val="00C72DF6"/>
    <w:rsid w:val="00C73EFB"/>
    <w:rsid w:val="00C769DD"/>
    <w:rsid w:val="00C84720"/>
    <w:rsid w:val="00C863CA"/>
    <w:rsid w:val="00C91877"/>
    <w:rsid w:val="00CA164A"/>
    <w:rsid w:val="00CA20E6"/>
    <w:rsid w:val="00CA7279"/>
    <w:rsid w:val="00CB0BEC"/>
    <w:rsid w:val="00CB0C8B"/>
    <w:rsid w:val="00CB3FF9"/>
    <w:rsid w:val="00CC709E"/>
    <w:rsid w:val="00CD6BA6"/>
    <w:rsid w:val="00CE48CB"/>
    <w:rsid w:val="00CF1789"/>
    <w:rsid w:val="00D005ED"/>
    <w:rsid w:val="00D046FE"/>
    <w:rsid w:val="00D04BE2"/>
    <w:rsid w:val="00D10909"/>
    <w:rsid w:val="00D16CA6"/>
    <w:rsid w:val="00D30F3F"/>
    <w:rsid w:val="00D415B2"/>
    <w:rsid w:val="00D41815"/>
    <w:rsid w:val="00D41B74"/>
    <w:rsid w:val="00D42144"/>
    <w:rsid w:val="00D476E1"/>
    <w:rsid w:val="00D50293"/>
    <w:rsid w:val="00D531CF"/>
    <w:rsid w:val="00D60DF5"/>
    <w:rsid w:val="00D62C57"/>
    <w:rsid w:val="00D65A5C"/>
    <w:rsid w:val="00D67CFF"/>
    <w:rsid w:val="00D72C06"/>
    <w:rsid w:val="00D80C35"/>
    <w:rsid w:val="00D81707"/>
    <w:rsid w:val="00D82C40"/>
    <w:rsid w:val="00D85B4A"/>
    <w:rsid w:val="00D9292F"/>
    <w:rsid w:val="00DA0DAF"/>
    <w:rsid w:val="00DB3FD9"/>
    <w:rsid w:val="00DC105B"/>
    <w:rsid w:val="00DC5C8C"/>
    <w:rsid w:val="00DD42BB"/>
    <w:rsid w:val="00DE164D"/>
    <w:rsid w:val="00DE3C7B"/>
    <w:rsid w:val="00DE68DE"/>
    <w:rsid w:val="00DF269F"/>
    <w:rsid w:val="00DF395F"/>
    <w:rsid w:val="00DF4AA1"/>
    <w:rsid w:val="00E02504"/>
    <w:rsid w:val="00E02E4C"/>
    <w:rsid w:val="00E11BDB"/>
    <w:rsid w:val="00E23B34"/>
    <w:rsid w:val="00E263AF"/>
    <w:rsid w:val="00E31B50"/>
    <w:rsid w:val="00E37045"/>
    <w:rsid w:val="00E40B2D"/>
    <w:rsid w:val="00E44370"/>
    <w:rsid w:val="00E74902"/>
    <w:rsid w:val="00E77EF8"/>
    <w:rsid w:val="00E80B40"/>
    <w:rsid w:val="00E85AE7"/>
    <w:rsid w:val="00E86DAF"/>
    <w:rsid w:val="00E91CC5"/>
    <w:rsid w:val="00EA173D"/>
    <w:rsid w:val="00EA3F1A"/>
    <w:rsid w:val="00EB1800"/>
    <w:rsid w:val="00EC04D8"/>
    <w:rsid w:val="00EC204A"/>
    <w:rsid w:val="00EC230F"/>
    <w:rsid w:val="00EE1FC7"/>
    <w:rsid w:val="00EE3F10"/>
    <w:rsid w:val="00EF3601"/>
    <w:rsid w:val="00EF38F8"/>
    <w:rsid w:val="00EF3A95"/>
    <w:rsid w:val="00EF73F4"/>
    <w:rsid w:val="00EF7CDC"/>
    <w:rsid w:val="00F024DD"/>
    <w:rsid w:val="00F25D12"/>
    <w:rsid w:val="00F27F31"/>
    <w:rsid w:val="00F509B1"/>
    <w:rsid w:val="00F5656B"/>
    <w:rsid w:val="00F6174F"/>
    <w:rsid w:val="00F628BE"/>
    <w:rsid w:val="00F65FF0"/>
    <w:rsid w:val="00F7000D"/>
    <w:rsid w:val="00F71668"/>
    <w:rsid w:val="00F75660"/>
    <w:rsid w:val="00F8655C"/>
    <w:rsid w:val="00F87D8F"/>
    <w:rsid w:val="00FA1137"/>
    <w:rsid w:val="00FA4529"/>
    <w:rsid w:val="00FA59D3"/>
    <w:rsid w:val="00FA769C"/>
    <w:rsid w:val="00FB2884"/>
    <w:rsid w:val="00FB53F6"/>
    <w:rsid w:val="00FB5A0B"/>
    <w:rsid w:val="00FC395A"/>
    <w:rsid w:val="00FC4043"/>
    <w:rsid w:val="00FC5F58"/>
    <w:rsid w:val="00FD4BB8"/>
    <w:rsid w:val="00FD571C"/>
    <w:rsid w:val="00FD5912"/>
    <w:rsid w:val="00FD6BE0"/>
    <w:rsid w:val="00FE06F8"/>
    <w:rsid w:val="00FE09E1"/>
    <w:rsid w:val="00FE19A8"/>
    <w:rsid w:val="00FE3C06"/>
    <w:rsid w:val="00FE4B32"/>
    <w:rsid w:val="00FF2F5E"/>
    <w:rsid w:val="00FF30DD"/>
    <w:rsid w:val="00FF5FD2"/>
    <w:rsid w:val="06ED2BDF"/>
    <w:rsid w:val="07B78033"/>
    <w:rsid w:val="0A50A9F5"/>
    <w:rsid w:val="11056D69"/>
    <w:rsid w:val="17CF7A93"/>
    <w:rsid w:val="1C5F0BD0"/>
    <w:rsid w:val="1F597058"/>
    <w:rsid w:val="2683C9B3"/>
    <w:rsid w:val="27F6385B"/>
    <w:rsid w:val="2D0A183B"/>
    <w:rsid w:val="2DD31DDA"/>
    <w:rsid w:val="33331F36"/>
    <w:rsid w:val="367ADBCB"/>
    <w:rsid w:val="3792E39B"/>
    <w:rsid w:val="3799C5EC"/>
    <w:rsid w:val="3A594C1A"/>
    <w:rsid w:val="3A5E98D2"/>
    <w:rsid w:val="3A85BDEE"/>
    <w:rsid w:val="3D12A4FF"/>
    <w:rsid w:val="441DFC4A"/>
    <w:rsid w:val="488CC01E"/>
    <w:rsid w:val="49772E0F"/>
    <w:rsid w:val="4E19BF10"/>
    <w:rsid w:val="53753DC1"/>
    <w:rsid w:val="5CC5297A"/>
    <w:rsid w:val="61B44AF7"/>
    <w:rsid w:val="66294F9E"/>
    <w:rsid w:val="6953B0DF"/>
    <w:rsid w:val="6AD8956D"/>
    <w:rsid w:val="6D721FDB"/>
    <w:rsid w:val="6F8CF6B0"/>
    <w:rsid w:val="71F37B1C"/>
    <w:rsid w:val="7406F1FD"/>
    <w:rsid w:val="772CE0C3"/>
    <w:rsid w:val="79DA0630"/>
    <w:rsid w:val="7B5E5F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05FF6"/>
  <w14:defaultImageDpi w14:val="330"/>
  <w15:docId w15:val="{CC21A81B-4FFD-4C99-9453-C838B70063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paragraph" w:styleId="Heading1">
    <w:name w:val="heading 1"/>
    <w:basedOn w:val="Normal"/>
    <w:next w:val="Normal"/>
    <w:link w:val="Heading1Char"/>
    <w:uiPriority w:val="9"/>
    <w:qFormat/>
    <w:rsid w:val="008D5175"/>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C7A79"/>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C063B1"/>
    <w:pPr>
      <w:tabs>
        <w:tab w:val="center" w:pos="4320"/>
        <w:tab w:val="right" w:pos="8640"/>
      </w:tabs>
    </w:pPr>
  </w:style>
  <w:style w:type="character" w:styleId="FooterChar" w:customStyle="1">
    <w:name w:val="Footer Char"/>
    <w:basedOn w:val="DefaultParagraphFont"/>
    <w:link w:val="Footer"/>
    <w:uiPriority w:val="99"/>
    <w:rsid w:val="00C063B1"/>
    <w:rPr>
      <w:lang w:val="en-GB"/>
    </w:rPr>
  </w:style>
  <w:style w:type="character" w:styleId="PageNumber">
    <w:name w:val="page number"/>
    <w:basedOn w:val="DefaultParagraphFont"/>
    <w:uiPriority w:val="99"/>
    <w:semiHidden/>
    <w:unhideWhenUsed/>
    <w:rsid w:val="00C063B1"/>
  </w:style>
  <w:style w:type="paragraph" w:styleId="Header">
    <w:name w:val="header"/>
    <w:basedOn w:val="Normal"/>
    <w:link w:val="HeaderChar"/>
    <w:uiPriority w:val="99"/>
    <w:unhideWhenUsed/>
    <w:rsid w:val="00C063B1"/>
    <w:pPr>
      <w:tabs>
        <w:tab w:val="center" w:pos="4320"/>
        <w:tab w:val="right" w:pos="8640"/>
      </w:tabs>
    </w:pPr>
  </w:style>
  <w:style w:type="character" w:styleId="HeaderChar" w:customStyle="1">
    <w:name w:val="Header Char"/>
    <w:basedOn w:val="DefaultParagraphFont"/>
    <w:link w:val="Header"/>
    <w:uiPriority w:val="99"/>
    <w:rsid w:val="00C063B1"/>
    <w:rPr>
      <w:lang w:val="en-GB"/>
    </w:rPr>
  </w:style>
  <w:style w:type="paragraph" w:styleId="ListParagraph">
    <w:name w:val="List Paragraph"/>
    <w:basedOn w:val="Normal"/>
    <w:uiPriority w:val="34"/>
    <w:qFormat/>
    <w:rsid w:val="00C063B1"/>
    <w:pPr>
      <w:ind w:left="720"/>
      <w:contextualSpacing/>
    </w:pPr>
  </w:style>
  <w:style w:type="character" w:styleId="Hyperlink">
    <w:name w:val="Hyperlink"/>
    <w:basedOn w:val="DefaultParagraphFont"/>
    <w:uiPriority w:val="99"/>
    <w:unhideWhenUsed/>
    <w:rsid w:val="00BC55A6"/>
    <w:rPr>
      <w:color w:val="0000FF" w:themeColor="hyperlink"/>
      <w:u w:val="single"/>
    </w:rPr>
  </w:style>
  <w:style w:type="character" w:styleId="Heading1Char" w:customStyle="1">
    <w:name w:val="Heading 1 Char"/>
    <w:basedOn w:val="DefaultParagraphFont"/>
    <w:link w:val="Heading1"/>
    <w:uiPriority w:val="9"/>
    <w:rsid w:val="008D5175"/>
    <w:rPr>
      <w:rFonts w:asciiTheme="majorHAnsi" w:hAnsiTheme="majorHAnsi" w:eastAsiaTheme="majorEastAsia"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8D5175"/>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8D517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D5175"/>
    <w:rPr>
      <w:rFonts w:ascii="Lucida Grande" w:hAnsi="Lucida Grande" w:cs="Lucida Grande"/>
      <w:sz w:val="18"/>
      <w:szCs w:val="18"/>
      <w:lang w:val="en-GB"/>
    </w:rPr>
  </w:style>
  <w:style w:type="paragraph" w:styleId="TOC1">
    <w:name w:val="toc 1"/>
    <w:basedOn w:val="Normal"/>
    <w:next w:val="Normal"/>
    <w:autoRedefine/>
    <w:uiPriority w:val="39"/>
    <w:unhideWhenUsed/>
    <w:rsid w:val="008D5175"/>
    <w:pPr>
      <w:spacing w:before="120"/>
    </w:pPr>
    <w:rPr>
      <w:b/>
    </w:rPr>
  </w:style>
  <w:style w:type="paragraph" w:styleId="TOC2">
    <w:name w:val="toc 2"/>
    <w:basedOn w:val="Normal"/>
    <w:next w:val="Normal"/>
    <w:autoRedefine/>
    <w:uiPriority w:val="39"/>
    <w:unhideWhenUsed/>
    <w:rsid w:val="008D5175"/>
    <w:pPr>
      <w:ind w:left="240"/>
    </w:pPr>
    <w:rPr>
      <w:b/>
      <w:sz w:val="22"/>
      <w:szCs w:val="22"/>
    </w:rPr>
  </w:style>
  <w:style w:type="paragraph" w:styleId="TOC3">
    <w:name w:val="toc 3"/>
    <w:basedOn w:val="Normal"/>
    <w:next w:val="Normal"/>
    <w:autoRedefine/>
    <w:uiPriority w:val="39"/>
    <w:unhideWhenUsed/>
    <w:rsid w:val="008D5175"/>
    <w:pPr>
      <w:ind w:left="480"/>
    </w:pPr>
    <w:rPr>
      <w:sz w:val="22"/>
      <w:szCs w:val="22"/>
    </w:rPr>
  </w:style>
  <w:style w:type="paragraph" w:styleId="TOC4">
    <w:name w:val="toc 4"/>
    <w:basedOn w:val="Normal"/>
    <w:next w:val="Normal"/>
    <w:autoRedefine/>
    <w:uiPriority w:val="39"/>
    <w:unhideWhenUsed/>
    <w:rsid w:val="008D5175"/>
    <w:pPr>
      <w:ind w:left="720"/>
    </w:pPr>
    <w:rPr>
      <w:sz w:val="20"/>
      <w:szCs w:val="20"/>
    </w:rPr>
  </w:style>
  <w:style w:type="paragraph" w:styleId="TOC5">
    <w:name w:val="toc 5"/>
    <w:basedOn w:val="Normal"/>
    <w:next w:val="Normal"/>
    <w:autoRedefine/>
    <w:uiPriority w:val="39"/>
    <w:unhideWhenUsed/>
    <w:rsid w:val="008D5175"/>
    <w:pPr>
      <w:ind w:left="960"/>
    </w:pPr>
    <w:rPr>
      <w:sz w:val="20"/>
      <w:szCs w:val="20"/>
    </w:rPr>
  </w:style>
  <w:style w:type="paragraph" w:styleId="TOC6">
    <w:name w:val="toc 6"/>
    <w:basedOn w:val="Normal"/>
    <w:next w:val="Normal"/>
    <w:autoRedefine/>
    <w:uiPriority w:val="39"/>
    <w:unhideWhenUsed/>
    <w:rsid w:val="008D5175"/>
    <w:pPr>
      <w:ind w:left="1200"/>
    </w:pPr>
    <w:rPr>
      <w:sz w:val="20"/>
      <w:szCs w:val="20"/>
    </w:rPr>
  </w:style>
  <w:style w:type="paragraph" w:styleId="TOC7">
    <w:name w:val="toc 7"/>
    <w:basedOn w:val="Normal"/>
    <w:next w:val="Normal"/>
    <w:autoRedefine/>
    <w:uiPriority w:val="39"/>
    <w:unhideWhenUsed/>
    <w:rsid w:val="008D5175"/>
    <w:pPr>
      <w:ind w:left="1440"/>
    </w:pPr>
    <w:rPr>
      <w:sz w:val="20"/>
      <w:szCs w:val="20"/>
    </w:rPr>
  </w:style>
  <w:style w:type="paragraph" w:styleId="TOC8">
    <w:name w:val="toc 8"/>
    <w:basedOn w:val="Normal"/>
    <w:next w:val="Normal"/>
    <w:autoRedefine/>
    <w:uiPriority w:val="39"/>
    <w:unhideWhenUsed/>
    <w:rsid w:val="008D5175"/>
    <w:pPr>
      <w:ind w:left="1680"/>
    </w:pPr>
    <w:rPr>
      <w:sz w:val="20"/>
      <w:szCs w:val="20"/>
    </w:rPr>
  </w:style>
  <w:style w:type="paragraph" w:styleId="TOC9">
    <w:name w:val="toc 9"/>
    <w:basedOn w:val="Normal"/>
    <w:next w:val="Normal"/>
    <w:autoRedefine/>
    <w:uiPriority w:val="39"/>
    <w:unhideWhenUsed/>
    <w:rsid w:val="008D5175"/>
    <w:pPr>
      <w:ind w:left="1920"/>
    </w:pPr>
    <w:rPr>
      <w:sz w:val="20"/>
      <w:szCs w:val="20"/>
    </w:rPr>
  </w:style>
  <w:style w:type="table" w:styleId="TableGrid">
    <w:name w:val="Table Grid"/>
    <w:basedOn w:val="TableNormal"/>
    <w:uiPriority w:val="59"/>
    <w:rsid w:val="005641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6A6859"/>
    <w:rPr>
      <w:color w:val="800080" w:themeColor="followedHyperlink"/>
      <w:u w:val="single"/>
    </w:rPr>
  </w:style>
  <w:style w:type="paragraph" w:styleId="FootnoteText">
    <w:name w:val="footnote text"/>
    <w:basedOn w:val="Normal"/>
    <w:link w:val="FootnoteTextChar"/>
    <w:uiPriority w:val="99"/>
    <w:unhideWhenUsed/>
    <w:rsid w:val="00F65FF0"/>
  </w:style>
  <w:style w:type="character" w:styleId="FootnoteTextChar" w:customStyle="1">
    <w:name w:val="Footnote Text Char"/>
    <w:basedOn w:val="DefaultParagraphFont"/>
    <w:link w:val="FootnoteText"/>
    <w:uiPriority w:val="99"/>
    <w:rsid w:val="00F65FF0"/>
    <w:rPr>
      <w:lang w:val="en-GB"/>
    </w:rPr>
  </w:style>
  <w:style w:type="character" w:styleId="FootnoteReference">
    <w:name w:val="footnote reference"/>
    <w:basedOn w:val="DefaultParagraphFont"/>
    <w:uiPriority w:val="99"/>
    <w:unhideWhenUsed/>
    <w:rsid w:val="00F65FF0"/>
    <w:rPr>
      <w:vertAlign w:val="superscript"/>
    </w:rPr>
  </w:style>
  <w:style w:type="character" w:styleId="CommentReference">
    <w:name w:val="annotation reference"/>
    <w:basedOn w:val="DefaultParagraphFont"/>
    <w:uiPriority w:val="99"/>
    <w:semiHidden/>
    <w:unhideWhenUsed/>
    <w:rsid w:val="001B3E82"/>
    <w:rPr>
      <w:sz w:val="16"/>
      <w:szCs w:val="16"/>
    </w:rPr>
  </w:style>
  <w:style w:type="paragraph" w:styleId="CommentText">
    <w:name w:val="annotation text"/>
    <w:basedOn w:val="Normal"/>
    <w:link w:val="CommentTextChar"/>
    <w:uiPriority w:val="99"/>
    <w:semiHidden/>
    <w:unhideWhenUsed/>
    <w:rsid w:val="001B3E82"/>
    <w:rPr>
      <w:sz w:val="20"/>
      <w:szCs w:val="20"/>
    </w:rPr>
  </w:style>
  <w:style w:type="character" w:styleId="CommentTextChar" w:customStyle="1">
    <w:name w:val="Comment Text Char"/>
    <w:basedOn w:val="DefaultParagraphFont"/>
    <w:link w:val="CommentText"/>
    <w:uiPriority w:val="99"/>
    <w:semiHidden/>
    <w:rsid w:val="001B3E82"/>
    <w:rPr>
      <w:sz w:val="20"/>
      <w:szCs w:val="20"/>
      <w:lang w:val="en-GB"/>
    </w:rPr>
  </w:style>
  <w:style w:type="paragraph" w:styleId="CommentSubject">
    <w:name w:val="annotation subject"/>
    <w:basedOn w:val="CommentText"/>
    <w:next w:val="CommentText"/>
    <w:link w:val="CommentSubjectChar"/>
    <w:uiPriority w:val="99"/>
    <w:semiHidden/>
    <w:unhideWhenUsed/>
    <w:rsid w:val="001B3E82"/>
    <w:rPr>
      <w:b/>
      <w:bCs/>
    </w:rPr>
  </w:style>
  <w:style w:type="character" w:styleId="CommentSubjectChar" w:customStyle="1">
    <w:name w:val="Comment Subject Char"/>
    <w:basedOn w:val="CommentTextChar"/>
    <w:link w:val="CommentSubject"/>
    <w:uiPriority w:val="99"/>
    <w:semiHidden/>
    <w:rsid w:val="001B3E82"/>
    <w:rPr>
      <w:b/>
      <w:bCs/>
      <w:sz w:val="20"/>
      <w:szCs w:val="20"/>
      <w:lang w:val="en-GB"/>
    </w:rPr>
  </w:style>
  <w:style w:type="character" w:styleId="orcid-id-https2" w:customStyle="1">
    <w:name w:val="orcid-id-https2"/>
    <w:basedOn w:val="DefaultParagraphFont"/>
    <w:rsid w:val="000305F2"/>
    <w:rPr>
      <w:sz w:val="18"/>
      <w:szCs w:val="18"/>
    </w:rPr>
  </w:style>
  <w:style w:type="paragraph" w:styleId="Revision">
    <w:name w:val="Revision"/>
    <w:hidden/>
    <w:uiPriority w:val="99"/>
    <w:semiHidden/>
    <w:rsid w:val="000305F2"/>
    <w:rPr>
      <w:lang w:val="en-GB"/>
    </w:rPr>
  </w:style>
  <w:style w:type="character" w:styleId="Heading2Char" w:customStyle="1">
    <w:name w:val="Heading 2 Char"/>
    <w:basedOn w:val="DefaultParagraphFont"/>
    <w:link w:val="Heading2"/>
    <w:uiPriority w:val="9"/>
    <w:semiHidden/>
    <w:rsid w:val="007C7A79"/>
    <w:rPr>
      <w:rFonts w:asciiTheme="majorHAnsi" w:hAnsiTheme="majorHAnsi" w:eastAsiaTheme="majorEastAsia"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6929">
      <w:bodyDiv w:val="1"/>
      <w:marLeft w:val="0"/>
      <w:marRight w:val="0"/>
      <w:marTop w:val="0"/>
      <w:marBottom w:val="0"/>
      <w:divBdr>
        <w:top w:val="none" w:sz="0" w:space="0" w:color="auto"/>
        <w:left w:val="none" w:sz="0" w:space="0" w:color="auto"/>
        <w:bottom w:val="none" w:sz="0" w:space="0" w:color="auto"/>
        <w:right w:val="none" w:sz="0" w:space="0" w:color="auto"/>
      </w:divBdr>
    </w:div>
    <w:div w:id="369767862">
      <w:bodyDiv w:val="1"/>
      <w:marLeft w:val="0"/>
      <w:marRight w:val="0"/>
      <w:marTop w:val="0"/>
      <w:marBottom w:val="0"/>
      <w:divBdr>
        <w:top w:val="none" w:sz="0" w:space="0" w:color="auto"/>
        <w:left w:val="none" w:sz="0" w:space="0" w:color="auto"/>
        <w:bottom w:val="none" w:sz="0" w:space="0" w:color="auto"/>
        <w:right w:val="none" w:sz="0" w:space="0" w:color="auto"/>
      </w:divBdr>
    </w:div>
    <w:div w:id="527331501">
      <w:bodyDiv w:val="1"/>
      <w:marLeft w:val="0"/>
      <w:marRight w:val="0"/>
      <w:marTop w:val="0"/>
      <w:marBottom w:val="0"/>
      <w:divBdr>
        <w:top w:val="none" w:sz="0" w:space="0" w:color="auto"/>
        <w:left w:val="none" w:sz="0" w:space="0" w:color="auto"/>
        <w:bottom w:val="none" w:sz="0" w:space="0" w:color="auto"/>
        <w:right w:val="none" w:sz="0" w:space="0" w:color="auto"/>
      </w:divBdr>
    </w:div>
    <w:div w:id="554510829">
      <w:bodyDiv w:val="1"/>
      <w:marLeft w:val="0"/>
      <w:marRight w:val="0"/>
      <w:marTop w:val="0"/>
      <w:marBottom w:val="0"/>
      <w:divBdr>
        <w:top w:val="none" w:sz="0" w:space="0" w:color="auto"/>
        <w:left w:val="none" w:sz="0" w:space="0" w:color="auto"/>
        <w:bottom w:val="none" w:sz="0" w:space="0" w:color="auto"/>
        <w:right w:val="none" w:sz="0" w:space="0" w:color="auto"/>
      </w:divBdr>
    </w:div>
    <w:div w:id="637077530">
      <w:bodyDiv w:val="1"/>
      <w:marLeft w:val="0"/>
      <w:marRight w:val="0"/>
      <w:marTop w:val="0"/>
      <w:marBottom w:val="0"/>
      <w:divBdr>
        <w:top w:val="none" w:sz="0" w:space="0" w:color="auto"/>
        <w:left w:val="none" w:sz="0" w:space="0" w:color="auto"/>
        <w:bottom w:val="none" w:sz="0" w:space="0" w:color="auto"/>
        <w:right w:val="none" w:sz="0" w:space="0" w:color="auto"/>
      </w:divBdr>
    </w:div>
    <w:div w:id="711658898">
      <w:bodyDiv w:val="1"/>
      <w:marLeft w:val="0"/>
      <w:marRight w:val="0"/>
      <w:marTop w:val="0"/>
      <w:marBottom w:val="0"/>
      <w:divBdr>
        <w:top w:val="none" w:sz="0" w:space="0" w:color="auto"/>
        <w:left w:val="none" w:sz="0" w:space="0" w:color="auto"/>
        <w:bottom w:val="none" w:sz="0" w:space="0" w:color="auto"/>
        <w:right w:val="none" w:sz="0" w:space="0" w:color="auto"/>
      </w:divBdr>
    </w:div>
    <w:div w:id="839738030">
      <w:bodyDiv w:val="1"/>
      <w:marLeft w:val="0"/>
      <w:marRight w:val="0"/>
      <w:marTop w:val="0"/>
      <w:marBottom w:val="0"/>
      <w:divBdr>
        <w:top w:val="none" w:sz="0" w:space="0" w:color="auto"/>
        <w:left w:val="none" w:sz="0" w:space="0" w:color="auto"/>
        <w:bottom w:val="none" w:sz="0" w:space="0" w:color="auto"/>
        <w:right w:val="none" w:sz="0" w:space="0" w:color="auto"/>
      </w:divBdr>
    </w:div>
    <w:div w:id="863590643">
      <w:bodyDiv w:val="1"/>
      <w:marLeft w:val="0"/>
      <w:marRight w:val="0"/>
      <w:marTop w:val="0"/>
      <w:marBottom w:val="0"/>
      <w:divBdr>
        <w:top w:val="none" w:sz="0" w:space="0" w:color="auto"/>
        <w:left w:val="none" w:sz="0" w:space="0" w:color="auto"/>
        <w:bottom w:val="none" w:sz="0" w:space="0" w:color="auto"/>
        <w:right w:val="none" w:sz="0" w:space="0" w:color="auto"/>
      </w:divBdr>
    </w:div>
    <w:div w:id="1066412941">
      <w:bodyDiv w:val="1"/>
      <w:marLeft w:val="0"/>
      <w:marRight w:val="0"/>
      <w:marTop w:val="0"/>
      <w:marBottom w:val="0"/>
      <w:divBdr>
        <w:top w:val="none" w:sz="0" w:space="0" w:color="auto"/>
        <w:left w:val="none" w:sz="0" w:space="0" w:color="auto"/>
        <w:bottom w:val="none" w:sz="0" w:space="0" w:color="auto"/>
        <w:right w:val="none" w:sz="0" w:space="0" w:color="auto"/>
      </w:divBdr>
    </w:div>
    <w:div w:id="1085884614">
      <w:bodyDiv w:val="1"/>
      <w:marLeft w:val="0"/>
      <w:marRight w:val="0"/>
      <w:marTop w:val="0"/>
      <w:marBottom w:val="0"/>
      <w:divBdr>
        <w:top w:val="none" w:sz="0" w:space="0" w:color="auto"/>
        <w:left w:val="none" w:sz="0" w:space="0" w:color="auto"/>
        <w:bottom w:val="none" w:sz="0" w:space="0" w:color="auto"/>
        <w:right w:val="none" w:sz="0" w:space="0" w:color="auto"/>
      </w:divBdr>
    </w:div>
    <w:div w:id="1101995159">
      <w:bodyDiv w:val="1"/>
      <w:marLeft w:val="0"/>
      <w:marRight w:val="0"/>
      <w:marTop w:val="0"/>
      <w:marBottom w:val="0"/>
      <w:divBdr>
        <w:top w:val="none" w:sz="0" w:space="0" w:color="auto"/>
        <w:left w:val="none" w:sz="0" w:space="0" w:color="auto"/>
        <w:bottom w:val="none" w:sz="0" w:space="0" w:color="auto"/>
        <w:right w:val="none" w:sz="0" w:space="0" w:color="auto"/>
      </w:divBdr>
    </w:div>
    <w:div w:id="1105342466">
      <w:bodyDiv w:val="1"/>
      <w:marLeft w:val="0"/>
      <w:marRight w:val="0"/>
      <w:marTop w:val="0"/>
      <w:marBottom w:val="0"/>
      <w:divBdr>
        <w:top w:val="none" w:sz="0" w:space="0" w:color="auto"/>
        <w:left w:val="none" w:sz="0" w:space="0" w:color="auto"/>
        <w:bottom w:val="none" w:sz="0" w:space="0" w:color="auto"/>
        <w:right w:val="none" w:sz="0" w:space="0" w:color="auto"/>
      </w:divBdr>
    </w:div>
    <w:div w:id="1212571728">
      <w:bodyDiv w:val="1"/>
      <w:marLeft w:val="0"/>
      <w:marRight w:val="0"/>
      <w:marTop w:val="0"/>
      <w:marBottom w:val="0"/>
      <w:divBdr>
        <w:top w:val="none" w:sz="0" w:space="0" w:color="auto"/>
        <w:left w:val="none" w:sz="0" w:space="0" w:color="auto"/>
        <w:bottom w:val="none" w:sz="0" w:space="0" w:color="auto"/>
        <w:right w:val="none" w:sz="0" w:space="0" w:color="auto"/>
      </w:divBdr>
    </w:div>
    <w:div w:id="1272787853">
      <w:bodyDiv w:val="1"/>
      <w:marLeft w:val="0"/>
      <w:marRight w:val="0"/>
      <w:marTop w:val="0"/>
      <w:marBottom w:val="0"/>
      <w:divBdr>
        <w:top w:val="none" w:sz="0" w:space="0" w:color="auto"/>
        <w:left w:val="none" w:sz="0" w:space="0" w:color="auto"/>
        <w:bottom w:val="none" w:sz="0" w:space="0" w:color="auto"/>
        <w:right w:val="none" w:sz="0" w:space="0" w:color="auto"/>
      </w:divBdr>
    </w:div>
    <w:div w:id="1303920413">
      <w:bodyDiv w:val="1"/>
      <w:marLeft w:val="0"/>
      <w:marRight w:val="0"/>
      <w:marTop w:val="0"/>
      <w:marBottom w:val="0"/>
      <w:divBdr>
        <w:top w:val="none" w:sz="0" w:space="0" w:color="auto"/>
        <w:left w:val="none" w:sz="0" w:space="0" w:color="auto"/>
        <w:bottom w:val="none" w:sz="0" w:space="0" w:color="auto"/>
        <w:right w:val="none" w:sz="0" w:space="0" w:color="auto"/>
      </w:divBdr>
    </w:div>
    <w:div w:id="1336104897">
      <w:bodyDiv w:val="1"/>
      <w:marLeft w:val="0"/>
      <w:marRight w:val="0"/>
      <w:marTop w:val="0"/>
      <w:marBottom w:val="0"/>
      <w:divBdr>
        <w:top w:val="none" w:sz="0" w:space="0" w:color="auto"/>
        <w:left w:val="none" w:sz="0" w:space="0" w:color="auto"/>
        <w:bottom w:val="none" w:sz="0" w:space="0" w:color="auto"/>
        <w:right w:val="none" w:sz="0" w:space="0" w:color="auto"/>
      </w:divBdr>
    </w:div>
    <w:div w:id="1610312003">
      <w:bodyDiv w:val="1"/>
      <w:marLeft w:val="0"/>
      <w:marRight w:val="0"/>
      <w:marTop w:val="0"/>
      <w:marBottom w:val="0"/>
      <w:divBdr>
        <w:top w:val="none" w:sz="0" w:space="0" w:color="auto"/>
        <w:left w:val="none" w:sz="0" w:space="0" w:color="auto"/>
        <w:bottom w:val="none" w:sz="0" w:space="0" w:color="auto"/>
        <w:right w:val="none" w:sz="0" w:space="0" w:color="auto"/>
      </w:divBdr>
    </w:div>
    <w:div w:id="1611469615">
      <w:bodyDiv w:val="1"/>
      <w:marLeft w:val="0"/>
      <w:marRight w:val="0"/>
      <w:marTop w:val="0"/>
      <w:marBottom w:val="0"/>
      <w:divBdr>
        <w:top w:val="none" w:sz="0" w:space="0" w:color="auto"/>
        <w:left w:val="none" w:sz="0" w:space="0" w:color="auto"/>
        <w:bottom w:val="none" w:sz="0" w:space="0" w:color="auto"/>
        <w:right w:val="none" w:sz="0" w:space="0" w:color="auto"/>
      </w:divBdr>
    </w:div>
    <w:div w:id="1656034937">
      <w:bodyDiv w:val="1"/>
      <w:marLeft w:val="0"/>
      <w:marRight w:val="0"/>
      <w:marTop w:val="0"/>
      <w:marBottom w:val="0"/>
      <w:divBdr>
        <w:top w:val="none" w:sz="0" w:space="0" w:color="auto"/>
        <w:left w:val="none" w:sz="0" w:space="0" w:color="auto"/>
        <w:bottom w:val="none" w:sz="0" w:space="0" w:color="auto"/>
        <w:right w:val="none" w:sz="0" w:space="0" w:color="auto"/>
      </w:divBdr>
    </w:div>
    <w:div w:id="1667706929">
      <w:bodyDiv w:val="1"/>
      <w:marLeft w:val="0"/>
      <w:marRight w:val="0"/>
      <w:marTop w:val="0"/>
      <w:marBottom w:val="0"/>
      <w:divBdr>
        <w:top w:val="none" w:sz="0" w:space="0" w:color="auto"/>
        <w:left w:val="none" w:sz="0" w:space="0" w:color="auto"/>
        <w:bottom w:val="none" w:sz="0" w:space="0" w:color="auto"/>
        <w:right w:val="none" w:sz="0" w:space="0" w:color="auto"/>
      </w:divBdr>
    </w:div>
    <w:div w:id="1802261741">
      <w:bodyDiv w:val="1"/>
      <w:marLeft w:val="0"/>
      <w:marRight w:val="0"/>
      <w:marTop w:val="0"/>
      <w:marBottom w:val="0"/>
      <w:divBdr>
        <w:top w:val="none" w:sz="0" w:space="0" w:color="auto"/>
        <w:left w:val="none" w:sz="0" w:space="0" w:color="auto"/>
        <w:bottom w:val="none" w:sz="0" w:space="0" w:color="auto"/>
        <w:right w:val="none" w:sz="0" w:space="0" w:color="auto"/>
      </w:divBdr>
    </w:div>
    <w:div w:id="1804470027">
      <w:bodyDiv w:val="1"/>
      <w:marLeft w:val="0"/>
      <w:marRight w:val="0"/>
      <w:marTop w:val="0"/>
      <w:marBottom w:val="0"/>
      <w:divBdr>
        <w:top w:val="none" w:sz="0" w:space="0" w:color="auto"/>
        <w:left w:val="none" w:sz="0" w:space="0" w:color="auto"/>
        <w:bottom w:val="none" w:sz="0" w:space="0" w:color="auto"/>
        <w:right w:val="none" w:sz="0" w:space="0" w:color="auto"/>
      </w:divBdr>
    </w:div>
    <w:div w:id="1815950283">
      <w:bodyDiv w:val="1"/>
      <w:marLeft w:val="0"/>
      <w:marRight w:val="0"/>
      <w:marTop w:val="0"/>
      <w:marBottom w:val="0"/>
      <w:divBdr>
        <w:top w:val="none" w:sz="0" w:space="0" w:color="auto"/>
        <w:left w:val="none" w:sz="0" w:space="0" w:color="auto"/>
        <w:bottom w:val="none" w:sz="0" w:space="0" w:color="auto"/>
        <w:right w:val="none" w:sz="0" w:space="0" w:color="auto"/>
      </w:divBdr>
    </w:div>
    <w:div w:id="1872719533">
      <w:bodyDiv w:val="1"/>
      <w:marLeft w:val="0"/>
      <w:marRight w:val="0"/>
      <w:marTop w:val="0"/>
      <w:marBottom w:val="0"/>
      <w:divBdr>
        <w:top w:val="none" w:sz="0" w:space="0" w:color="auto"/>
        <w:left w:val="none" w:sz="0" w:space="0" w:color="auto"/>
        <w:bottom w:val="none" w:sz="0" w:space="0" w:color="auto"/>
        <w:right w:val="none" w:sz="0" w:space="0" w:color="auto"/>
      </w:divBdr>
    </w:div>
    <w:div w:id="200450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susan.park@sydney.edu.au" TargetMode="Externa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www.cao-ombudsman.org/newsroom/documents/FIAUDIT.htm" TargetMode="Externa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1.xm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dx.doi.org/10.25910/5bdb90e22bf46" TargetMode="External" Id="rId9" /><Relationship Type="http://schemas.openxmlformats.org/officeDocument/2006/relationships/footer" Target="footer3.xml" Id="rId14" /><Relationship Type="http://schemas.openxmlformats.org/officeDocument/2006/relationships/glossaryDocument" Target="glossary/document.xml" Id="R38a5bf5e24ca44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4254d9-e0e6-45ae-a6d2-4ce1894bcee3}"/>
      </w:docPartPr>
      <w:docPartBody>
        <w:p w14:paraId="59CA2D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314A9243EF1741962D016A340B8103" ma:contentTypeVersion="11" ma:contentTypeDescription="Create a new document." ma:contentTypeScope="" ma:versionID="cef33fe311bee4d48535931777a748fd">
  <xsd:schema xmlns:xsd="http://www.w3.org/2001/XMLSchema" xmlns:xs="http://www.w3.org/2001/XMLSchema" xmlns:p="http://schemas.microsoft.com/office/2006/metadata/properties" xmlns:ns2="798167d2-4f52-4094-834f-7e1fb777cdb5" xmlns:ns3="eed79a8c-50fb-4bc5-97ce-5ef521b53277" targetNamespace="http://schemas.microsoft.com/office/2006/metadata/properties" ma:root="true" ma:fieldsID="ba02864ce4eaeb6e7f0516f6a5e42c55" ns2:_="" ns3:_="">
    <xsd:import namespace="798167d2-4f52-4094-834f-7e1fb777cdb5"/>
    <xsd:import namespace="eed79a8c-50fb-4bc5-97ce-5ef521b532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167d2-4f52-4094-834f-7e1fb777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79a8c-50fb-4bc5-97ce-5ef521b532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8ec4b94-0fa4-4fd2-b571-8966e56b336a}" ma:internalName="TaxCatchAll" ma:showField="CatchAllData" ma:web="eed79a8c-50fb-4bc5-97ce-5ef521b53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8167d2-4f52-4094-834f-7e1fb777cdb5">
      <Terms xmlns="http://schemas.microsoft.com/office/infopath/2007/PartnerControls"/>
    </lcf76f155ced4ddcb4097134ff3c332f>
    <TaxCatchAll xmlns="eed79a8c-50fb-4bc5-97ce-5ef521b53277" xsi:nil="true"/>
  </documentManagement>
</p:properties>
</file>

<file path=customXml/itemProps1.xml><?xml version="1.0" encoding="utf-8"?>
<ds:datastoreItem xmlns:ds="http://schemas.openxmlformats.org/officeDocument/2006/customXml" ds:itemID="{FB305144-C9B5-4E65-9BC7-A16EA1C588DE}">
  <ds:schemaRefs>
    <ds:schemaRef ds:uri="http://schemas.openxmlformats.org/officeDocument/2006/bibliography"/>
  </ds:schemaRefs>
</ds:datastoreItem>
</file>

<file path=customXml/itemProps2.xml><?xml version="1.0" encoding="utf-8"?>
<ds:datastoreItem xmlns:ds="http://schemas.openxmlformats.org/officeDocument/2006/customXml" ds:itemID="{694E0122-BA34-442C-9A8A-F090FB710378}"/>
</file>

<file path=customXml/itemProps3.xml><?xml version="1.0" encoding="utf-8"?>
<ds:datastoreItem xmlns:ds="http://schemas.openxmlformats.org/officeDocument/2006/customXml" ds:itemID="{A4D86FC4-6A1F-4440-BB37-497003B23160}"/>
</file>

<file path=customXml/itemProps4.xml><?xml version="1.0" encoding="utf-8"?>
<ds:datastoreItem xmlns:ds="http://schemas.openxmlformats.org/officeDocument/2006/customXml" ds:itemID="{CE0F72DE-216C-4136-A692-45AD6391B1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Harris</dc:creator>
  <cp:keywords/>
  <dc:description/>
  <cp:lastModifiedBy>Susan Park</cp:lastModifiedBy>
  <cp:revision>20</cp:revision>
  <dcterms:created xsi:type="dcterms:W3CDTF">2021-12-22T04:31:00Z</dcterms:created>
  <dcterms:modified xsi:type="dcterms:W3CDTF">2022-12-20T02:16:46Z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0x0101006C314A9243EF1741962D016A340B8103</vt:lpwstr>
  </property>
</Properties>
</file>